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26-349</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 62</w:t>
      </w:r>
    </w:p>
    <w:p>
      <w:pPr>
        <w:spacing w:before="0" w:after="0" w:line="480"/>
        <w:ind w:left="120"/>
        <w:jc w:val="center"/>
      </w:pPr>
      <w:r>
        <w:rPr>
          <w:rFonts w:ascii="Times New Roman" w:hAnsi="Times New Roman"/>
          <w:b w:val="false"/>
          <w:i w:val="false"/>
          <w:color w:val="000000"/>
          <w:sz w:val="24"/>
        </w:rPr>
        <w:t>“State Standards for Progression in Reading”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256.7 and 279.68A</w:t>
      </w:r>
    </w:p>
    <w:p>
      <w:pPr>
        <w:spacing w:before="0" w:after="0" w:line="480"/>
        <w:ind w:left="120"/>
        <w:jc w:val="both"/>
      </w:pPr>
      <w:r>
        <w:rPr>
          <w:rFonts w:ascii="Times New Roman" w:hAnsi="Times New Roman"/>
          <w:b w:val="false"/>
          <w:i w:val="false"/>
          <w:color w:val="000000"/>
          <w:sz w:val="24"/>
        </w:rPr>
        <w:t>State or federal law(s) implemented by the rulemaking: Iowa Code section 279.68 as amended by the Literacy Changes Lives Act, 2024 Iowa Acts, House File 2618, and section 279.68A as amended by the Math Counts Act, 2025 Iowa Acts, House File 784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8 to 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Online at </w:t>
            </w:r>
            <w:hyperlink r:id="rId4">
              <w:r>
                <w:rPr>
                  <w:rStyle w:val="Hyperlink"/>
                  <w:rFonts w:ascii="Times New Roman" w:hAnsi="Times New Roman"/>
                  <w:b w:val="false"/>
                  <w:i w:val="false"/>
                  <w:color w:val="0000ff"/>
                  <w:sz w:val="14"/>
                </w:rPr>
                <w:t>meet.google.com/uzu-nfiq-jca</w:t>
              </w:r>
            </w:hyperlink>
            <w:r>
              <w:br/>
            </w:r>
            <w:r>
              <w:rPr>
                <w:rFonts w:ascii="Times New Roman" w:hAnsi="Times New Roman"/>
                <w:b w:val="false"/>
                <w:i w:val="false"/>
                <w:color w:val="000000"/>
                <w:sz w:val="14"/>
              </w:rPr>
              <w:t>Phone: 1.929.276.1400</w:t>
            </w:r>
            <w:r>
              <w:br/>
            </w:r>
            <w:r>
              <w:rPr>
                <w:rFonts w:ascii="Times New Roman" w:hAnsi="Times New Roman"/>
                <w:b w:val="false"/>
                <w:i w:val="false"/>
                <w:color w:val="000000"/>
                <w:sz w:val="14"/>
              </w:rPr>
              <w:t>PIN: ‪992 943 978#</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Thomas A. Mayes</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thomas.a.mayes@iowa.gov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substantially amends Chapter 62 to implement the Literacy Changes Lives Act, 2024 Iowa Acts, House File 2618, and the Math Counts Act, 2025 Iowa Acts, House File 784. This proposed rulemaking, as much as possible, consolidates decision-making processes and reduces duplicative requirements.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known costs of this proposed rulemaking. No Fiscal Notes were provided for the underlying Iowa Acts.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Students, their teachers, and their parents will benefit from the clarity this proposed rulemaking provides.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reduce duplication and administrative burden for teachers and other school leaders.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Implementation costs are expected to be minimal and absorbed within existing agency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is not anticipated to have a direct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underlying legislation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underlying legislation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Department since the underlying legislation requires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The underlying legislation requires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impact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281—Chapter 62</w:t>
      </w:r>
      <w:r>
        <w:rPr>
          <w:rFonts w:ascii="Times New Roman" w:hAnsi="Times New Roman"/>
          <w:b w:val="false"/>
          <w:i w:val="false"/>
          <w:color w:val="000000"/>
          <w:sz w:val="24"/>
        </w:rPr>
        <w:t>, title</w:t>
      </w:r>
      <w:r>
        <w:rPr>
          <w:rFonts w:ascii="Times New Roman" w:hAnsi="Times New Roman"/>
          <w:b w:val="false"/>
          <w:i w:val="false"/>
          <w:color w:val="000000"/>
          <w:sz w:val="24"/>
        </w:rPr>
        <w:t>, as follows:</w:t>
      </w:r>
    </w:p>
    <w:p>
      <w:pPr>
        <w:spacing w:before="0" w:after="0" w:line="480"/>
        <w:ind w:left="120"/>
        <w:jc w:val="center"/>
      </w:pPr>
      <w:r>
        <w:rPr>
          <w:rFonts w:ascii="Times New Roman" w:hAnsi="Times New Roman"/>
          <w:b w:val="false"/>
          <w:i w:val="false"/>
          <w:color w:val="000000"/>
          <w:sz w:val="21"/>
        </w:rPr>
        <w:t>STATE STANDARDS FOR PROGRESSION IN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MATHEMATICS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281—62.1(256,279)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281—62.1</w:t>
      </w:r>
      <w:r>
        <w:rPr>
          <w:rFonts w:ascii="Times New Roman" w:hAnsi="Times New Roman"/>
          <w:b/>
          <w:i w:val="false"/>
          <w:color w:val="000000"/>
          <w:sz w:val="24"/>
        </w:rPr>
        <w:t xml:space="preserve">(256,279) </w:t>
      </w:r>
      <w:r>
        <w:rPr>
          <w:rFonts w:ascii="Times New Roman" w:hAnsi="Times New Roman"/>
          <w:b/>
          <w:i w:val="false"/>
          <w:color w:val="000000"/>
          <w:sz w:val="24"/>
        </w:rPr>
        <w:t>Assessment of reading</w:t>
      </w:r>
      <w:r>
        <w:rPr>
          <w:rFonts w:ascii="Times New Roman" w:hAnsi="Times New Roman"/>
          <w:b/>
          <w:i w:val="false"/>
          <w:color w:val="000000"/>
          <w:sz w:val="24"/>
          <w:u w:val="single"/>
        </w:rPr>
        <w:t> </w:t>
      </w:r>
      <w:r>
        <w:rPr>
          <w:rFonts w:ascii="Times New Roman" w:hAnsi="Times New Roman"/>
          <w:b/>
          <w:i w:val="false"/>
          <w:color w:val="000000"/>
          <w:sz w:val="24"/>
          <w:u w:val="single"/>
        </w:rPr>
        <w:t>and mathematics</w:t>
      </w:r>
      <w:r>
        <w:rPr>
          <w:rFonts w:ascii="Times New Roman" w:hAnsi="Times New Roman"/>
          <w:b/>
          <w:i w:val="false"/>
          <w:color w:val="000000"/>
          <w:sz w:val="24"/>
        </w:rPr>
        <w:t xml:space="preserve"> proficiency. </w:t>
      </w:r>
      <w:r>
        <w:rPr>
          <w:rFonts w:ascii="Times New Roman" w:hAnsi="Times New Roman"/>
          <w:b w:val="false"/>
          <w:i w:val="false"/>
          <w:color w:val="000000"/>
          <w:sz w:val="24"/>
        </w:rPr>
        <w:t>All school districts shall assess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mathematics</w:t>
      </w:r>
      <w:r>
        <w:rPr>
          <w:rFonts w:ascii="Times New Roman" w:hAnsi="Times New Roman"/>
          <w:b w:val="false"/>
          <w:i w:val="false"/>
          <w:color w:val="000000"/>
          <w:sz w:val="24"/>
        </w:rPr>
        <w:t xml:space="preserve"> proficiency of all students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62.1(1)</w:t>
      </w:r>
      <w:r>
        <w:rPr>
          <w:rFonts w:ascii="Times New Roman" w:hAnsi="Times New Roman"/>
          <w:b w:val="false"/>
          <w:i w:val="false"/>
          <w:color w:val="000000"/>
          <w:sz w:val="24"/>
        </w:rPr>
        <w:t> </w:t>
      </w:r>
      <w:r>
        <w:rPr>
          <w:rFonts w:ascii="Times New Roman" w:hAnsi="Times New Roman"/>
          <w:b w:val="false"/>
          <w:i/>
          <w:color w:val="000000"/>
          <w:sz w:val="24"/>
        </w:rPr>
        <w:t xml:space="preserve">Assessment at beginning of school year. </w:t>
      </w:r>
      <w:r>
        <w:rPr>
          <w:rFonts w:ascii="Times New Roman" w:hAnsi="Times New Roman"/>
          <w:b w:val="false"/>
          <w:i w:val="false"/>
          <w:color w:val="000000"/>
          <w:sz w:val="24"/>
        </w:rPr>
        <w:t>A school district will assess all students enrolled in kindergarten through grade three at the beginning of each school year for the students’ level of reading or reading readiness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in kindergarten through grade six for mathematics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62.1(2)</w:t>
      </w:r>
      <w:r>
        <w:rPr>
          <w:rFonts w:ascii="Times New Roman" w:hAnsi="Times New Roman"/>
          <w:b w:val="false"/>
          <w:i w:val="false"/>
          <w:color w:val="000000"/>
          <w:sz w:val="24"/>
        </w:rPr>
        <w:t> </w:t>
      </w:r>
      <w:r>
        <w:rPr>
          <w:rFonts w:ascii="Times New Roman" w:hAnsi="Times New Roman"/>
          <w:b w:val="false"/>
          <w:i/>
          <w:color w:val="000000"/>
          <w:sz w:val="24"/>
        </w:rPr>
        <w:t xml:space="preserve">Subsequent assessments throughout school year. </w:t>
      </w:r>
      <w:r>
        <w:rPr>
          <w:rFonts w:ascii="Times New Roman" w:hAnsi="Times New Roman"/>
          <w:b w:val="false"/>
          <w:i w:val="false"/>
          <w:color w:val="000000"/>
          <w:sz w:val="24"/>
        </w:rPr>
        <w:t>A school district will provide to all students additional, brief assessments of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mathematics</w:t>
      </w:r>
      <w:r>
        <w:rPr>
          <w:rFonts w:ascii="Times New Roman" w:hAnsi="Times New Roman"/>
          <w:b w:val="false"/>
          <w:i w:val="false"/>
          <w:color w:val="000000"/>
          <w:sz w:val="24"/>
        </w:rPr>
        <w:t xml:space="preserve"> achievement in a manner specified by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at least two additional times per year,</w:t>
      </w:r>
      <w:r>
        <w:rPr>
          <w:rFonts w:ascii="Times New Roman" w:hAnsi="Times New Roman"/>
          <w:b w:val="false"/>
          <w:i w:val="false"/>
          <w:color w:val="000000"/>
          <w:sz w:val="24"/>
        </w:rPr>
        <w:t xml:space="preserve"> using assessments that meet the standards described in subrule </w:t>
      </w:r>
      <w:hyperlink r:id="rId6">
        <w:r>
          <w:rPr>
            <w:rStyle w:val="Hyperlink"/>
            <w:rFonts w:ascii="Times New Roman" w:hAnsi="Times New Roman"/>
            <w:b w:val="false"/>
            <w:i w:val="false"/>
            <w:color w:val="000000"/>
            <w:sz w:val="24"/>
          </w:rPr>
          <w:t>62.1(5)</w:t>
        </w:r>
      </w:hyperlink>
      <w:r>
        <w:rPr>
          <w:rFonts w:ascii="Times New Roman" w:hAnsi="Times New Roman"/>
          <w:b w:val="false"/>
          <w:i w:val="false"/>
          <w:color w:val="000000"/>
          <w:sz w:val="24"/>
          <w:u w:val="single"/>
        </w:rPr>
        <w:t xml:space="preserve">, during the grades specified in subrule </w:t>
      </w:r>
      <w:hyperlink r:id="rId7">
        <w:r>
          <w:rPr>
            <w:rStyle w:val="Hyperlink"/>
            <w:rFonts w:ascii="Times New Roman" w:hAnsi="Times New Roman"/>
            <w:b w:val="false"/>
            <w:i w:val="false"/>
            <w:color w:val="000000"/>
            <w:sz w:val="24"/>
            <w:u w:val="single"/>
          </w:rPr>
          <w:t>62.1(1)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62.1(3)</w:t>
      </w:r>
      <w:r>
        <w:rPr>
          <w:rFonts w:ascii="Times New Roman" w:hAnsi="Times New Roman"/>
          <w:b w:val="false"/>
          <w:i w:val="false"/>
          <w:color w:val="000000"/>
          <w:sz w:val="24"/>
        </w:rPr>
        <w:t> </w:t>
      </w:r>
      <w:r>
        <w:rPr>
          <w:rFonts w:ascii="Times New Roman" w:hAnsi="Times New Roman"/>
          <w:b w:val="false"/>
          <w:i/>
          <w:color w:val="000000"/>
          <w:sz w:val="24"/>
        </w:rPr>
        <w:t xml:space="preserve">Progress-monitoring instruments. </w:t>
      </w:r>
      <w:r>
        <w:rPr>
          <w:rFonts w:ascii="Times New Roman" w:hAnsi="Times New Roman"/>
          <w:b w:val="false"/>
          <w:i w:val="false"/>
          <w:color w:val="000000"/>
          <w:sz w:val="24"/>
        </w:rPr>
        <w:t>For students identified as being persistently at risk in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mathematics</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as well as students who are becoming persistently at risk in reading,</w:t>
      </w:r>
      <w:r>
        <w:rPr>
          <w:rFonts w:ascii="Times New Roman" w:hAnsi="Times New Roman"/>
          <w:b w:val="false"/>
          <w:i w:val="false"/>
          <w:color w:val="000000"/>
          <w:sz w:val="24"/>
        </w:rPr>
        <w:t xml:space="preserve"> a school district will monitor the students’ progress in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mathematics</w:t>
      </w:r>
      <w:r>
        <w:rPr>
          <w:rFonts w:ascii="Times New Roman" w:hAnsi="Times New Roman"/>
          <w:b w:val="false"/>
          <w:i w:val="false"/>
          <w:color w:val="000000"/>
          <w:sz w:val="24"/>
        </w:rPr>
        <w:t xml:space="preserve"> with instruments that meet the standards in </w:t>
      </w:r>
      <w:hyperlink r:id="rId8">
        <w:r>
          <w:rPr>
            <w:rStyle w:val="Hyperlink"/>
            <w:rFonts w:ascii="Times New Roman" w:hAnsi="Times New Roman"/>
            <w:b w:val="false"/>
            <w:i w:val="false"/>
            <w:color w:val="000000"/>
            <w:sz w:val="24"/>
          </w:rPr>
          <w:t>subrule 62.1(5)</w:t>
        </w:r>
      </w:hyperlink>
      <w:r>
        <w:rPr>
          <w:rFonts w:ascii="Times New Roman" w:hAnsi="Times New Roman"/>
          <w:b w:val="false"/>
          <w:i w:val="false"/>
          <w:color w:val="000000"/>
          <w:sz w:val="24"/>
        </w:rPr>
        <w:t>, in at least a frequency specified by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reading and at least every other week for mathematics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62.1(4)</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62.1(5)</w:t>
      </w:r>
      <w:r>
        <w:rPr>
          <w:rFonts w:ascii="Times New Roman" w:hAnsi="Times New Roman"/>
          <w:b w:val="false"/>
          <w:i w:val="false"/>
          <w:color w:val="000000"/>
          <w:sz w:val="24"/>
        </w:rPr>
        <w:t> </w:t>
      </w:r>
      <w:r>
        <w:rPr>
          <w:rFonts w:ascii="Times New Roman" w:hAnsi="Times New Roman"/>
          <w:b w:val="false"/>
          <w:i/>
          <w:color w:val="000000"/>
          <w:sz w:val="24"/>
        </w:rPr>
        <w:t xml:space="preserve">Standards for approval for assessments. </w:t>
      </w:r>
      <w:r>
        <w:rPr>
          <w:rFonts w:ascii="Times New Roman" w:hAnsi="Times New Roman"/>
          <w:b w:val="false"/>
          <w:i w:val="false"/>
          <w:color w:val="000000"/>
          <w:sz w:val="24"/>
        </w:rPr>
        <w:t>Any assessment of reading or reading readiness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mathematics</w:t>
      </w:r>
      <w:r>
        <w:rPr>
          <w:rFonts w:ascii="Times New Roman" w:hAnsi="Times New Roman"/>
          <w:b w:val="false"/>
          <w:i w:val="false"/>
          <w:color w:val="000000"/>
          <w:sz w:val="24"/>
        </w:rPr>
        <w:t xml:space="preserve"> under this rule and used to implement this chapter is to meet the following minimum standards before use by a school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Standards for universal-screening instruments. </w:t>
      </w:r>
      <w:r>
        <w:rPr>
          <w:rFonts w:ascii="Times New Roman" w:hAnsi="Times New Roman"/>
          <w:b w:val="false"/>
          <w:i w:val="false"/>
          <w:color w:val="000000"/>
          <w:sz w:val="24"/>
        </w:rPr>
        <w:t>Any assessment used for universal-screening purposes under this chapter is to meet department-adopted minimum standards for the following statistical measures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the number of screening intervals required by the department</w:t>
      </w:r>
      <w:r>
        <w:rPr>
          <w:rFonts w:ascii="Times New Roman" w:hAnsi="Times New Roman"/>
          <w:b w:val="false"/>
          <w:i w:val="false"/>
          <w:color w:val="000000"/>
          <w:sz w:val="24"/>
        </w:rPr>
        <w:t>: area under the curve and specificity/sensitivity.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Department publication of approved assessments. </w:t>
      </w:r>
      <w:r>
        <w:rPr>
          <w:rFonts w:ascii="Times New Roman" w:hAnsi="Times New Roman"/>
          <w:b w:val="false"/>
          <w:i w:val="false"/>
          <w:color w:val="000000"/>
          <w:sz w:val="24"/>
        </w:rPr>
        <w:t>The department will annually publish or update a list of assessments approved pursuant to this subrule. Approved assessments will have a demonstrated ability to predict future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mathematics</w:t>
      </w:r>
      <w:r>
        <w:rPr>
          <w:rFonts w:ascii="Times New Roman" w:hAnsi="Times New Roman"/>
          <w:b w:val="false"/>
          <w:i w:val="false"/>
          <w:color w:val="000000"/>
          <w:sz w:val="24"/>
        </w:rPr>
        <w:t xml:space="preserve">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62.1(6)</w:t>
      </w:r>
      <w:r>
        <w:rPr>
          <w:rFonts w:ascii="Times New Roman" w:hAnsi="Times New Roman"/>
          <w:b w:val="false"/>
          <w:i w:val="false"/>
          <w:color w:val="000000"/>
          <w:sz w:val="24"/>
        </w:rPr>
        <w:t> </w:t>
      </w:r>
      <w:r>
        <w:rPr>
          <w:rFonts w:ascii="Times New Roman" w:hAnsi="Times New Roman"/>
          <w:b w:val="false"/>
          <w:i/>
          <w:color w:val="000000"/>
          <w:sz w:val="24"/>
        </w:rPr>
        <w:t>Basic levels of reading</w:t>
      </w:r>
      <w:r>
        <w:rPr>
          <w:rFonts w:ascii="Times New Roman" w:hAnsi="Times New Roman"/>
          <w:b w:val="false"/>
          <w:i/>
          <w:color w:val="000000"/>
          <w:sz w:val="24"/>
          <w:u w:val="single"/>
        </w:rPr>
        <w:t> </w:t>
      </w:r>
      <w:r>
        <w:rPr>
          <w:rFonts w:ascii="Times New Roman" w:hAnsi="Times New Roman"/>
          <w:b w:val="false"/>
          <w:i/>
          <w:color w:val="000000"/>
          <w:sz w:val="24"/>
          <w:u w:val="single"/>
        </w:rPr>
        <w:t>and mathematics</w:t>
      </w:r>
      <w:r>
        <w:rPr>
          <w:rFonts w:ascii="Times New Roman" w:hAnsi="Times New Roman"/>
          <w:b w:val="false"/>
          <w:i/>
          <w:color w:val="000000"/>
          <w:sz w:val="24"/>
        </w:rPr>
        <w:t xml:space="preserve"> proficiency on approved assessments. </w:t>
      </w:r>
      <w:r>
        <w:rPr>
          <w:rFonts w:ascii="Times New Roman" w:hAnsi="Times New Roman"/>
          <w:b w:val="false"/>
          <w:i w:val="false"/>
          <w:color w:val="000000"/>
          <w:sz w:val="24"/>
        </w:rPr>
        <w:t>The department will determine benchmarks for basic levels of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mathematics</w:t>
      </w:r>
      <w:r>
        <w:rPr>
          <w:rFonts w:ascii="Times New Roman" w:hAnsi="Times New Roman"/>
          <w:b w:val="false"/>
          <w:i w:val="false"/>
          <w:color w:val="000000"/>
          <w:sz w:val="24"/>
        </w:rPr>
        <w:t xml:space="preserve"> proficiency to be used with approved assessments based on the ability to predict meaningful future outcomes of a student’s reading performance that is sufficient to master appropriate grade four reading skills prior to the student’s promotion to grade four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mathematics performance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62.1(7)</w:t>
      </w:r>
      <w:r>
        <w:rPr>
          <w:rFonts w:ascii="Times New Roman" w:hAnsi="Times New Roman"/>
          <w:b w:val="false"/>
          <w:i w:val="false"/>
          <w:color w:val="000000"/>
          <w:sz w:val="24"/>
        </w:rPr>
        <w:t> </w:t>
      </w:r>
      <w:r>
        <w:rPr>
          <w:rFonts w:ascii="Times New Roman" w:hAnsi="Times New Roman"/>
          <w:b w:val="false"/>
          <w:i/>
          <w:color w:val="000000"/>
          <w:sz w:val="24"/>
        </w:rPr>
        <w:t xml:space="preserve">Assessment measures. </w:t>
      </w:r>
      <w:r>
        <w:rPr>
          <w:rFonts w:ascii="Times New Roman" w:hAnsi="Times New Roman"/>
          <w:b w:val="false"/>
          <w:i w:val="false"/>
          <w:color w:val="000000"/>
          <w:sz w:val="24"/>
        </w:rPr>
        <w:t>Assessments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of reading or reading readiness</w:t>
      </w:r>
      <w:r>
        <w:rPr>
          <w:rFonts w:ascii="Times New Roman" w:hAnsi="Times New Roman"/>
          <w:b w:val="false"/>
          <w:i w:val="false"/>
          <w:color w:val="000000"/>
          <w:sz w:val="24"/>
        </w:rPr>
        <w:t xml:space="preserve"> administered to implement this chapter, when taken as a whole, are to measure phonemic awareness, phonics, fluency, vocabulary, and comprehension.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Assessments of mathematics administered to implement this chapter, when taken as a whole, are to measure subitizing, cardinality, object counting, verbal counting, spatial relationships, benchmark numbers, and part-part-whole models.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62.1(8)</w:t>
      </w:r>
      <w:r>
        <w:rPr>
          <w:rFonts w:ascii="Times New Roman" w:hAnsi="Times New Roman"/>
          <w:b w:val="false"/>
          <w:i w:val="false"/>
          <w:color w:val="000000"/>
          <w:sz w:val="24"/>
        </w:rPr>
        <w:t> </w:t>
      </w:r>
      <w:r>
        <w:rPr>
          <w:rFonts w:ascii="Times New Roman" w:hAnsi="Times New Roman"/>
          <w:b w:val="false"/>
          <w:i/>
          <w:color w:val="000000"/>
          <w:sz w:val="24"/>
        </w:rPr>
        <w:t xml:space="preserve">Noncompliant assessments. </w:t>
      </w:r>
      <w:r>
        <w:rPr>
          <w:rFonts w:ascii="Times New Roman" w:hAnsi="Times New Roman"/>
          <w:b w:val="false"/>
          <w:i w:val="false"/>
          <w:color w:val="000000"/>
          <w:sz w:val="24"/>
        </w:rPr>
        <w:t xml:space="preserve">Assessments that do not meet the provisions of this rule </w:t>
      </w:r>
      <w:r>
        <w:rPr>
          <w:rFonts w:ascii="Times New Roman" w:hAnsi="Times New Roman"/>
          <w:b w:val="false"/>
          <w:i w:val="false"/>
          <w:strike/>
          <w:color w:val="000000"/>
          <w:sz w:val="24"/>
        </w:rPr>
        <w:t>may not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cannot</w:t>
      </w:r>
      <w:r>
        <w:rPr>
          <w:rFonts w:ascii="Times New Roman" w:hAnsi="Times New Roman"/>
          <w:b w:val="false"/>
          <w:i w:val="false"/>
          <w:color w:val="000000"/>
          <w:sz w:val="24"/>
        </w:rPr>
        <w:t xml:space="preserve"> be used by any school district to implement this chapter.</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281—62.2(256,279)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281—62.2</w:t>
      </w:r>
      <w:r>
        <w:rPr>
          <w:rFonts w:ascii="Times New Roman" w:hAnsi="Times New Roman"/>
          <w:b/>
          <w:i w:val="false"/>
          <w:color w:val="000000"/>
          <w:sz w:val="24"/>
        </w:rPr>
        <w:t xml:space="preserve">(256,279) </w:t>
      </w:r>
      <w:r>
        <w:rPr>
          <w:rFonts w:ascii="Times New Roman" w:hAnsi="Times New Roman"/>
          <w:b/>
          <w:i w:val="false"/>
          <w:color w:val="000000"/>
          <w:sz w:val="24"/>
        </w:rPr>
        <w:t>Tools for evaluating and reevaluating reading</w:t>
      </w:r>
      <w:r>
        <w:rPr>
          <w:rFonts w:ascii="Times New Roman" w:hAnsi="Times New Roman"/>
          <w:b/>
          <w:i w:val="false"/>
          <w:color w:val="000000"/>
          <w:sz w:val="24"/>
          <w:u w:val="single"/>
        </w:rPr>
        <w:t> </w:t>
      </w:r>
      <w:r>
        <w:rPr>
          <w:rFonts w:ascii="Times New Roman" w:hAnsi="Times New Roman"/>
          <w:b/>
          <w:i w:val="false"/>
          <w:color w:val="000000"/>
          <w:sz w:val="24"/>
          <w:u w:val="single"/>
        </w:rPr>
        <w:t>and mathematics</w:t>
      </w:r>
      <w:r>
        <w:rPr>
          <w:rFonts w:ascii="Times New Roman" w:hAnsi="Times New Roman"/>
          <w:b/>
          <w:i w:val="false"/>
          <w:color w:val="000000"/>
          <w:sz w:val="24"/>
        </w:rPr>
        <w:t xml:space="preserve"> proficiency. </w:t>
      </w:r>
      <w:r>
        <w:rPr>
          <w:rFonts w:ascii="Times New Roman" w:hAnsi="Times New Roman"/>
          <w:b w:val="false"/>
          <w:i w:val="false"/>
          <w:color w:val="000000"/>
          <w:sz w:val="24"/>
        </w:rPr>
        <w:t>The department identifies the following attributes of tools that may be used in evaluating and reevaluating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mathematics</w:t>
      </w:r>
      <w:r>
        <w:rPr>
          <w:rFonts w:ascii="Times New Roman" w:hAnsi="Times New Roman"/>
          <w:b w:val="false"/>
          <w:i w:val="false"/>
          <w:color w:val="000000"/>
          <w:sz w:val="24"/>
        </w:rPr>
        <w:t xml:space="preserve"> proficiency: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62.2(1)</w:t>
      </w:r>
      <w:r>
        <w:rPr>
          <w:rFonts w:ascii="Times New Roman" w:hAnsi="Times New Roman"/>
          <w:b w:val="false"/>
          <w:i w:val="false"/>
          <w:color w:val="000000"/>
          <w:sz w:val="24"/>
        </w:rPr>
        <w:t> </w:t>
      </w:r>
      <w:r>
        <w:rPr>
          <w:rFonts w:ascii="Times New Roman" w:hAnsi="Times New Roman"/>
          <w:b w:val="false"/>
          <w:i/>
          <w:color w:val="000000"/>
          <w:sz w:val="24"/>
        </w:rPr>
        <w:t xml:space="preserve">Locally determined or statewide assessments. </w:t>
      </w:r>
      <w:r>
        <w:rPr>
          <w:rFonts w:ascii="Times New Roman" w:hAnsi="Times New Roman"/>
          <w:b w:val="false"/>
          <w:i w:val="false"/>
          <w:color w:val="000000"/>
          <w:sz w:val="24"/>
        </w:rPr>
        <w:t>In evaluating and reevaluating students who are or may be at risk or persistently at risk in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mathematics</w:t>
      </w:r>
      <w:r>
        <w:rPr>
          <w:rFonts w:ascii="Times New Roman" w:hAnsi="Times New Roman"/>
          <w:b w:val="false"/>
          <w:i w:val="false"/>
          <w:color w:val="000000"/>
          <w:sz w:val="24"/>
        </w:rPr>
        <w:t xml:space="preserve">, school districts are to use assessments that meet the standards referenced in subrule </w:t>
      </w:r>
      <w:hyperlink r:id="rId9">
        <w:r>
          <w:rPr>
            <w:rStyle w:val="Hyperlink"/>
            <w:rFonts w:ascii="Times New Roman" w:hAnsi="Times New Roman"/>
            <w:b w:val="false"/>
            <w:i w:val="false"/>
            <w:color w:val="000000"/>
            <w:sz w:val="24"/>
          </w:rPr>
          <w:t>62.1(5)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62.2(2)</w:t>
      </w:r>
      <w:r>
        <w:rPr>
          <w:rFonts w:ascii="Times New Roman" w:hAnsi="Times New Roman"/>
          <w:b w:val="false"/>
          <w:i w:val="false"/>
          <w:color w:val="000000"/>
          <w:sz w:val="24"/>
        </w:rPr>
        <w:t> </w:t>
      </w:r>
      <w:r>
        <w:rPr>
          <w:rFonts w:ascii="Times New Roman" w:hAnsi="Times New Roman"/>
          <w:b w:val="false"/>
          <w:i/>
          <w:color w:val="000000"/>
          <w:sz w:val="24"/>
        </w:rPr>
        <w:t xml:space="preserve">Alternative assessments. </w:t>
      </w:r>
      <w:r>
        <w:rPr>
          <w:rFonts w:ascii="Times New Roman" w:hAnsi="Times New Roman"/>
          <w:b w:val="false"/>
          <w:i w:val="false"/>
          <w:color w:val="000000"/>
          <w:sz w:val="24"/>
        </w:rPr>
        <w:t xml:space="preserve">If a school district determines, based on the clear and unique facts of a particular student’s case, that a particular student needs an alternative assessment to determine proficiency in reading, in addition to the assessments referred to in rule </w:t>
      </w:r>
      <w:hyperlink r:id="rId10">
        <w:r>
          <w:rPr>
            <w:rStyle w:val="Hyperlink"/>
            <w:rFonts w:ascii="Times New Roman" w:hAnsi="Times New Roman"/>
            <w:b w:val="false"/>
            <w:i w:val="false"/>
            <w:color w:val="000000"/>
            <w:sz w:val="24"/>
          </w:rPr>
          <w:t>281—62.1</w:t>
        </w:r>
      </w:hyperlink>
      <w:r>
        <w:rPr>
          <w:rFonts w:ascii="Times New Roman" w:hAnsi="Times New Roman"/>
          <w:b w:val="false"/>
          <w:i w:val="false"/>
          <w:color w:val="000000"/>
          <w:sz w:val="24"/>
        </w:rPr>
        <w:t xml:space="preserve">(256,279) and subrule </w:t>
      </w:r>
      <w:hyperlink r:id="rId11">
        <w:r>
          <w:rPr>
            <w:rStyle w:val="Hyperlink"/>
            <w:rFonts w:ascii="Times New Roman" w:hAnsi="Times New Roman"/>
            <w:b w:val="false"/>
            <w:i w:val="false"/>
            <w:color w:val="000000"/>
            <w:sz w:val="24"/>
          </w:rPr>
          <w:t>62.2(1)</w:t>
        </w:r>
      </w:hyperlink>
      <w:r>
        <w:rPr>
          <w:rFonts w:ascii="Times New Roman" w:hAnsi="Times New Roman"/>
          <w:b w:val="false"/>
          <w:i w:val="false"/>
          <w:color w:val="000000"/>
          <w:sz w:val="24"/>
        </w:rPr>
        <w:t xml:space="preserve">, the alternative assessment is to be founded on scientifically based research and reasonably calculated to provide equivalent information about the student’s reading, in addition to information provided by the assessments referred to in rule </w:t>
      </w:r>
      <w:hyperlink r:id="rId12">
        <w:r>
          <w:rPr>
            <w:rStyle w:val="Hyperlink"/>
            <w:rFonts w:ascii="Times New Roman" w:hAnsi="Times New Roman"/>
            <w:b w:val="false"/>
            <w:i w:val="false"/>
            <w:color w:val="000000"/>
            <w:sz w:val="24"/>
          </w:rPr>
          <w:t>281—62.1</w:t>
        </w:r>
      </w:hyperlink>
      <w:r>
        <w:rPr>
          <w:rFonts w:ascii="Times New Roman" w:hAnsi="Times New Roman"/>
          <w:b w:val="false"/>
          <w:i w:val="false"/>
          <w:color w:val="000000"/>
          <w:sz w:val="24"/>
        </w:rPr>
        <w:t xml:space="preserve">(256,279) and subrule </w:t>
      </w:r>
      <w:hyperlink r:id="rId13">
        <w:r>
          <w:rPr>
            <w:rStyle w:val="Hyperlink"/>
            <w:rFonts w:ascii="Times New Roman" w:hAnsi="Times New Roman"/>
            <w:b w:val="false"/>
            <w:i w:val="false"/>
            <w:color w:val="000000"/>
            <w:sz w:val="24"/>
          </w:rPr>
          <w:t>62.3(1)</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This subrule does not apply to mathematics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62.2(3)</w:t>
      </w:r>
      <w:r>
        <w:rPr>
          <w:rFonts w:ascii="Times New Roman" w:hAnsi="Times New Roman"/>
          <w:b w:val="false"/>
          <w:i w:val="false"/>
          <w:color w:val="000000"/>
          <w:sz w:val="24"/>
        </w:rPr>
        <w:t> </w:t>
      </w:r>
      <w:r>
        <w:rPr>
          <w:rFonts w:ascii="Times New Roman" w:hAnsi="Times New Roman"/>
          <w:b w:val="false"/>
          <w:i/>
          <w:color w:val="000000"/>
          <w:sz w:val="24"/>
        </w:rPr>
        <w:t xml:space="preserve">Portfolio reviews. </w:t>
      </w:r>
      <w:r>
        <w:rPr>
          <w:rFonts w:ascii="Times New Roman" w:hAnsi="Times New Roman"/>
          <w:b w:val="false"/>
          <w:i w:val="false"/>
          <w:color w:val="000000"/>
          <w:sz w:val="24"/>
        </w:rPr>
        <w:t xml:space="preserve">School districts may review a portfolio of a student’s work to determine reading proficiency. Portfolio reviews are to be conducted using standard review criteria that are founded on scientifically based research. A portfolio review may be used along with assessments in rule </w:t>
      </w:r>
      <w:hyperlink r:id="rId14">
        <w:r>
          <w:rPr>
            <w:rStyle w:val="Hyperlink"/>
            <w:rFonts w:ascii="Times New Roman" w:hAnsi="Times New Roman"/>
            <w:b w:val="false"/>
            <w:i w:val="false"/>
            <w:color w:val="000000"/>
            <w:sz w:val="24"/>
          </w:rPr>
          <w:t>281—62.1</w:t>
        </w:r>
      </w:hyperlink>
      <w:r>
        <w:rPr>
          <w:rFonts w:ascii="Times New Roman" w:hAnsi="Times New Roman"/>
          <w:b w:val="false"/>
          <w:i w:val="false"/>
          <w:color w:val="000000"/>
          <w:sz w:val="24"/>
        </w:rPr>
        <w:t xml:space="preserve">(256,279) and subrule </w:t>
      </w:r>
      <w:hyperlink r:id="rId15">
        <w:r>
          <w:rPr>
            <w:rStyle w:val="Hyperlink"/>
            <w:rFonts w:ascii="Times New Roman" w:hAnsi="Times New Roman"/>
            <w:b w:val="false"/>
            <w:i w:val="false"/>
            <w:color w:val="000000"/>
            <w:sz w:val="24"/>
          </w:rPr>
          <w:t>62.2(1)</w:t>
        </w:r>
      </w:hyperlink>
      <w:r>
        <w:rPr>
          <w:rFonts w:ascii="Times New Roman" w:hAnsi="Times New Roman"/>
          <w:b w:val="false"/>
          <w:i w:val="false"/>
          <w:color w:val="000000"/>
          <w:sz w:val="24"/>
        </w:rPr>
        <w:t>, but is not to be used in lieu of such assessments. The department is to maintain a list of portfolio review criteria that are adequate under this subrule.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This subrule does not apply to mathematics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62.2(4)</w:t>
      </w:r>
      <w:r>
        <w:rPr>
          <w:rFonts w:ascii="Times New Roman" w:hAnsi="Times New Roman"/>
          <w:b w:val="false"/>
          <w:i w:val="false"/>
          <w:color w:val="000000"/>
          <w:sz w:val="24"/>
        </w:rPr>
        <w:t> </w:t>
      </w:r>
      <w:r>
        <w:rPr>
          <w:rFonts w:ascii="Times New Roman" w:hAnsi="Times New Roman"/>
          <w:b w:val="false"/>
          <w:i/>
          <w:color w:val="000000"/>
          <w:sz w:val="24"/>
        </w:rPr>
        <w:t xml:space="preserve">Teacher observation. </w:t>
      </w:r>
      <w:r>
        <w:rPr>
          <w:rFonts w:ascii="Times New Roman" w:hAnsi="Times New Roman"/>
          <w:b w:val="false"/>
          <w:i w:val="false"/>
          <w:color w:val="000000"/>
          <w:sz w:val="24"/>
        </w:rPr>
        <w:t>A student may initially be identified as being persistently at risk in reading proficiency based on teacher observation. A teacher observation under this subrule is to be based on department-approved observation criteria. Teacher observation shall not be used to determine that a student continues to be persistently at risk in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for identifying a student as persistently at risk in mathematics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62.2(5)</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62.2(6)</w:t>
      </w:r>
      <w:r>
        <w:rPr>
          <w:rFonts w:ascii="Times New Roman" w:hAnsi="Times New Roman"/>
          <w:b w:val="false"/>
          <w:i w:val="false"/>
          <w:color w:val="000000"/>
          <w:sz w:val="24"/>
        </w:rPr>
        <w:t> </w:t>
      </w:r>
      <w:r>
        <w:rPr>
          <w:rFonts w:ascii="Times New Roman" w:hAnsi="Times New Roman"/>
          <w:b w:val="false"/>
          <w:i/>
          <w:color w:val="000000"/>
          <w:sz w:val="24"/>
        </w:rPr>
        <w:t xml:space="preserve">Alternate assessment. </w:t>
      </w:r>
      <w:r>
        <w:rPr>
          <w:rFonts w:ascii="Times New Roman" w:hAnsi="Times New Roman"/>
          <w:b w:val="false"/>
          <w:i w:val="false"/>
          <w:color w:val="000000"/>
          <w:sz w:val="24"/>
        </w:rPr>
        <w:t>If an individual with a disability has been determined to need an alternate assessment aligned to alternate academic achievement standards in reading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mathematics</w:t>
      </w:r>
      <w:r>
        <w:rPr>
          <w:rFonts w:ascii="Times New Roman" w:hAnsi="Times New Roman"/>
          <w:b w:val="false"/>
          <w:i w:val="false"/>
          <w:color w:val="000000"/>
          <w:sz w:val="24"/>
        </w:rPr>
        <w:t xml:space="preserve">, pursuant to rule </w:t>
      </w:r>
      <w:hyperlink r:id="rId16">
        <w:r>
          <w:rPr>
            <w:rStyle w:val="Hyperlink"/>
            <w:rFonts w:ascii="Times New Roman" w:hAnsi="Times New Roman"/>
            <w:b w:val="false"/>
            <w:i w:val="false"/>
            <w:color w:val="000000"/>
            <w:sz w:val="24"/>
          </w:rPr>
          <w:t>281—41.320</w:t>
        </w:r>
      </w:hyperlink>
      <w:r>
        <w:rPr>
          <w:rFonts w:ascii="Times New Roman" w:hAnsi="Times New Roman"/>
          <w:b w:val="false"/>
          <w:i w:val="false"/>
          <w:color w:val="000000"/>
          <w:sz w:val="24"/>
        </w:rPr>
        <w:t>(256B,34CFR300), that individual is to receive such alternate assessment, as well as alternate universal screening and progress monitoring pursuant to this chapter on instruments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62.2(7)</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281—62.3(256,279)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281—62.3</w:t>
      </w:r>
      <w:r>
        <w:rPr>
          <w:rFonts w:ascii="Times New Roman" w:hAnsi="Times New Roman"/>
          <w:b/>
          <w:i w:val="false"/>
          <w:color w:val="000000"/>
          <w:sz w:val="24"/>
        </w:rPr>
        <w:t xml:space="preserve">(256,279) </w:t>
      </w:r>
      <w:r>
        <w:rPr>
          <w:rFonts w:ascii="Times New Roman" w:hAnsi="Times New Roman"/>
          <w:b/>
          <w:i w:val="false"/>
          <w:color w:val="000000"/>
          <w:sz w:val="24"/>
        </w:rPr>
        <w:t xml:space="preserve">Identification of a student as being persistently at risk </w:t>
      </w:r>
      <w:r>
        <w:rPr>
          <w:rFonts w:ascii="Times New Roman" w:hAnsi="Times New Roman"/>
          <w:b/>
          <w:i w:val="false"/>
          <w:strike/>
          <w:color w:val="000000"/>
          <w:sz w:val="24"/>
        </w:rPr>
        <w:t>in reading</w:t>
      </w:r>
      <w:r>
        <w:rPr>
          <w:rFonts w:ascii="Times New Roman" w:hAnsi="Times New Roman"/>
          <w:b/>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62.3(1)</w:t>
      </w:r>
      <w:r>
        <w:rPr>
          <w:rFonts w:ascii="Times New Roman" w:hAnsi="Times New Roman"/>
          <w:b w:val="false"/>
          <w:i w:val="false"/>
          <w:color w:val="000000"/>
          <w:sz w:val="24"/>
        </w:rPr>
        <w:t> </w:t>
      </w:r>
      <w:r>
        <w:rPr>
          <w:rFonts w:ascii="Times New Roman" w:hAnsi="Times New Roman"/>
          <w:b w:val="false"/>
          <w:i/>
          <w:color w:val="000000"/>
          <w:sz w:val="24"/>
        </w:rPr>
        <w:t>Definition of “persistently at risk in reading</w:t>
      </w:r>
      <w:r>
        <w:rPr>
          <w:rFonts w:ascii="Times New Roman" w:hAnsi="Times New Roman"/>
          <w:b w:val="false"/>
          <w:i/>
          <w:color w:val="000000"/>
          <w:sz w:val="24"/>
          <w:u w:val="single"/>
        </w:rPr>
        <w:t> </w:t>
      </w:r>
      <w:r>
        <w:rPr>
          <w:rFonts w:ascii="Times New Roman" w:hAnsi="Times New Roman"/>
          <w:b w:val="false"/>
          <w:i/>
          <w:color w:val="000000"/>
          <w:sz w:val="24"/>
          <w:u w:val="single"/>
        </w:rPr>
        <w:t>and mathematics</w:t>
      </w:r>
      <w:r>
        <w:rPr>
          <w:rFonts w:ascii="Times New Roman" w:hAnsi="Times New Roman"/>
          <w:b w:val="false"/>
          <w:i/>
          <w:color w:val="000000"/>
          <w:sz w:val="24"/>
        </w:rPr>
        <w:t xml:space="preserve">.” </w:t>
      </w:r>
      <w:r>
        <w:rPr>
          <w:rFonts w:ascii="Times New Roman" w:hAnsi="Times New Roman"/>
          <w:b w:val="false"/>
          <w:i w:val="false"/>
          <w:color w:val="000000"/>
          <w:sz w:val="24"/>
        </w:rPr>
        <w:t xml:space="preserve">A student is determined “persistently at risk” under the </w:t>
      </w:r>
      <w:r>
        <w:rPr>
          <w:rFonts w:ascii="Times New Roman" w:hAnsi="Times New Roman"/>
          <w:b w:val="false"/>
          <w:i w:val="false"/>
          <w:strike/>
          <w:color w:val="000000"/>
          <w:sz w:val="24"/>
        </w:rPr>
        <w:t>standard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standards</w:t>
      </w:r>
      <w:r>
        <w:rPr>
          <w:rFonts w:ascii="Times New Roman" w:hAnsi="Times New Roman"/>
          <w:b w:val="false"/>
          <w:i w:val="false"/>
          <w:color w:val="000000"/>
          <w:sz w:val="24"/>
        </w:rPr>
        <w:t xml:space="preserve"> in Iowa Code </w:t>
      </w:r>
      <w:r>
        <w:rPr>
          <w:rFonts w:ascii="Times New Roman" w:hAnsi="Times New Roman"/>
          <w:b w:val="false"/>
          <w:i w:val="false"/>
          <w:strike/>
          <w:color w:val="000000"/>
          <w:sz w:val="24"/>
        </w:rPr>
        <w:t>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sections</w:t>
      </w:r>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279.68(1)</w:t>
        </w:r>
      </w:hyperlink>
      <w:r>
        <w:rPr>
          <w:rFonts w:ascii="Times New Roman" w:hAnsi="Times New Roman"/>
          <w:b w:val="false"/>
          <w:i/>
          <w:color w:val="000000"/>
          <w:sz w:val="24"/>
        </w:rPr>
        <w:t>“a</w:t>
      </w:r>
      <w:r>
        <w:rPr>
          <w:rFonts w:ascii="Times New Roman" w:hAnsi="Times New Roman"/>
          <w:b w:val="false"/>
          <w:i/>
          <w:strike/>
          <w:color w:val="000000"/>
          <w:sz w:val="24"/>
        </w:rPr>
        <w:t>.</w:t>
      </w:r>
      <w:r>
        <w:rPr>
          <w:rFonts w:ascii="Times New Roman" w:hAnsi="Times New Roman"/>
          <w:b w:val="false"/>
          <w:i/>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w:t>
      </w:r>
      <w:hyperlink r:id="rId18">
        <w:r>
          <w:rPr>
            <w:rStyle w:val="Hyperlink"/>
            <w:rFonts w:ascii="Times New Roman" w:hAnsi="Times New Roman"/>
            <w:b w:val="false"/>
            <w:i w:val="false"/>
            <w:color w:val="000000"/>
            <w:sz w:val="24"/>
            <w:u w:val="single"/>
          </w:rPr>
          <w:t>279.68A(4)</w:t>
        </w:r>
      </w:hyperlink>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A student is “at risk </w:t>
      </w:r>
      <w:r>
        <w:rPr>
          <w:rFonts w:ascii="Times New Roman" w:hAnsi="Times New Roman"/>
          <w:b w:val="false"/>
          <w:i w:val="false"/>
          <w:strike/>
          <w:color w:val="000000"/>
          <w:sz w:val="24"/>
        </w:rPr>
        <w:t>in reading</w:t>
      </w:r>
      <w:r>
        <w:rPr>
          <w:rFonts w:ascii="Times New Roman" w:hAnsi="Times New Roman"/>
          <w:b w:val="false"/>
          <w:i w:val="false"/>
          <w:color w:val="000000"/>
          <w:sz w:val="24"/>
        </w:rPr>
        <w:t>” if the student did not meet the grade-level benchmark for one of the two most recent screening assessments administered pursuant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62.3(2)</w:t>
      </w:r>
      <w:r>
        <w:rPr>
          <w:rFonts w:ascii="Times New Roman" w:hAnsi="Times New Roman"/>
          <w:b w:val="false"/>
          <w:i w:val="false"/>
          <w:color w:val="000000"/>
          <w:sz w:val="24"/>
        </w:rPr>
        <w:t> </w:t>
      </w:r>
      <w:r>
        <w:rPr>
          <w:rFonts w:ascii="Times New Roman" w:hAnsi="Times New Roman"/>
          <w:b w:val="false"/>
          <w:i/>
          <w:color w:val="000000"/>
          <w:sz w:val="24"/>
        </w:rPr>
        <w:t>Determination of a persistent risk in reading</w:t>
      </w:r>
      <w:r>
        <w:rPr>
          <w:rFonts w:ascii="Times New Roman" w:hAnsi="Times New Roman"/>
          <w:b w:val="false"/>
          <w:i/>
          <w:color w:val="000000"/>
          <w:sz w:val="24"/>
          <w:u w:val="single"/>
        </w:rPr>
        <w:t> </w:t>
      </w:r>
      <w:r>
        <w:rPr>
          <w:rFonts w:ascii="Times New Roman" w:hAnsi="Times New Roman"/>
          <w:b w:val="false"/>
          <w:i/>
          <w:color w:val="000000"/>
          <w:sz w:val="24"/>
          <w:u w:val="single"/>
        </w:rPr>
        <w:t>and mathematics</w:t>
      </w:r>
      <w:r>
        <w:rPr>
          <w:rFonts w:ascii="Times New Roman" w:hAnsi="Times New Roman"/>
          <w:b w:val="false"/>
          <w:i/>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 student is determined to be persistently at risk in mathematics under the standard in Iowa Code section </w:t>
      </w:r>
      <w:hyperlink r:id="rId19">
        <w:r>
          <w:rPr>
            <w:rStyle w:val="Hyperlink"/>
            <w:rFonts w:ascii="Times New Roman" w:hAnsi="Times New Roman"/>
            <w:b w:val="false"/>
            <w:i w:val="false"/>
            <w:color w:val="000000"/>
            <w:sz w:val="24"/>
            <w:u w:val="single"/>
          </w:rPr>
          <w:t>279.68A(4)</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student is at risk in mathematics if the student did not meet the grade-level benchmark for one of the two most recent screening assessments administered pursuant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e.</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 student is persistently at risk if the student is below grade-level expectations in the reading component of the language arts portion or the mathematics portion on the statewide summative assessment administered under rule </w:t>
      </w:r>
      <w:hyperlink r:id="rId20">
        <w:r>
          <w:rPr>
            <w:rStyle w:val="Hyperlink"/>
            <w:rFonts w:ascii="Times New Roman" w:hAnsi="Times New Roman"/>
            <w:b w:val="false"/>
            <w:i w:val="false"/>
            <w:color w:val="000000"/>
            <w:sz w:val="24"/>
            <w:u w:val="single"/>
          </w:rPr>
          <w:t>281—12.8</w:t>
        </w:r>
      </w:hyperlink>
      <w:r>
        <w:rPr>
          <w:rFonts w:ascii="Times New Roman" w:hAnsi="Times New Roman"/>
          <w:b w:val="false"/>
          <w:i w:val="false"/>
          <w:color w:val="000000"/>
          <w:sz w:val="24"/>
          <w:u w:val="single"/>
        </w:rPr>
        <w:t>(256). A student is at risk if the student is approaching grade-level expectations in the reading component of the language arts portion or the mathematics portion of that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62.3(3)</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Services offered to all students who are persistently at risk in reading. </w:t>
      </w:r>
      <w:r>
        <w:rPr>
          <w:rFonts w:ascii="Times New Roman" w:hAnsi="Times New Roman"/>
          <w:b w:val="false"/>
          <w:i w:val="false"/>
          <w:strike/>
          <w:color w:val="000000"/>
          <w:sz w:val="24"/>
        </w:rPr>
        <w:t xml:space="preserve">A school district will provide intensive reading instruction to any student who is persistently at risk in reading. A school district will continue to provide the student with intensive reading instruction until the student is reading at grade level, at grade levels beyond grade three if necessary, as determined by the student’s consistently proficient performance on valid and reliable measures of reading ability that meet the provisions of rule </w:t>
      </w:r>
      <w:hyperlink r:id="rId21">
        <w:r>
          <w:rPr>
            <w:rStyle w:val="Hyperlink"/>
            <w:rFonts w:ascii="Times New Roman" w:hAnsi="Times New Roman"/>
            <w:b w:val="false"/>
            <w:i w:val="false"/>
            <w:strike/>
            <w:color w:val="000000"/>
            <w:sz w:val="24"/>
          </w:rPr>
          <w:t>281—62.1</w:t>
        </w:r>
      </w:hyperlink>
      <w:r>
        <w:rPr>
          <w:rFonts w:ascii="Times New Roman" w:hAnsi="Times New Roman"/>
          <w:b w:val="false"/>
          <w:i w:val="false"/>
          <w:strike/>
          <w:color w:val="000000"/>
          <w:sz w:val="24"/>
        </w:rPr>
        <w:t xml:space="preserve">(256,279). All services provided under this subrule will comply with rule </w:t>
      </w:r>
      <w:hyperlink r:id="rId22">
        <w:r>
          <w:rPr>
            <w:rStyle w:val="Hyperlink"/>
            <w:rFonts w:ascii="Times New Roman" w:hAnsi="Times New Roman"/>
            <w:b w:val="false"/>
            <w:i w:val="false"/>
            <w:strike/>
            <w:color w:val="000000"/>
            <w:sz w:val="24"/>
          </w:rPr>
          <w:t>281—62.4</w:t>
        </w:r>
      </w:hyperlink>
      <w:r>
        <w:rPr>
          <w:rFonts w:ascii="Times New Roman" w:hAnsi="Times New Roman"/>
          <w:b w:val="false"/>
          <w:i w:val="false"/>
          <w:strike/>
          <w:color w:val="000000"/>
          <w:sz w:val="24"/>
        </w:rPr>
        <w:t>(256,279).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62.3(4)</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Notice to parents. </w:t>
      </w:r>
      <w:r>
        <w:rPr>
          <w:rFonts w:ascii="Times New Roman" w:hAnsi="Times New Roman"/>
          <w:b w:val="false"/>
          <w:i w:val="false"/>
          <w:strike/>
          <w:color w:val="000000"/>
          <w:sz w:val="24"/>
        </w:rPr>
        <w:t xml:space="preserve">The district will comply with Iowa Code section </w:t>
      </w:r>
      <w:hyperlink r:id="rId23">
        <w:r>
          <w:rPr>
            <w:rStyle w:val="Hyperlink"/>
            <w:rFonts w:ascii="Times New Roman" w:hAnsi="Times New Roman"/>
            <w:b w:val="false"/>
            <w:i w:val="false"/>
            <w:strike/>
            <w:color w:val="000000"/>
            <w:sz w:val="24"/>
          </w:rPr>
          <w:t>279.68(2)</w:t>
        </w:r>
      </w:hyperlink>
      <w:r>
        <w:rPr>
          <w:rFonts w:ascii="Times New Roman" w:hAnsi="Times New Roman"/>
          <w:b w:val="false"/>
          <w:i/>
          <w:strike/>
          <w:color w:val="000000"/>
          <w:sz w:val="24"/>
        </w:rPr>
        <w:t>“b”</w:t>
      </w:r>
      <w:r>
        <w:rPr>
          <w:rFonts w:ascii="Times New Roman" w:hAnsi="Times New Roman"/>
          <w:b w:val="false"/>
          <w:i w:val="false"/>
          <w:strike/>
          <w:color w:val="000000"/>
          <w:sz w:val="24"/>
        </w:rPr>
        <w:t xml:space="preserve"> and </w:t>
      </w:r>
      <w:r>
        <w:rPr>
          <w:rFonts w:ascii="Times New Roman" w:hAnsi="Times New Roman"/>
          <w:b w:val="false"/>
          <w:i/>
          <w:strike/>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62.3(3)</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Exit from “persistently at risk” status. </w:t>
      </w:r>
      <w:r>
        <w:rPr>
          <w:rFonts w:ascii="Times New Roman" w:hAnsi="Times New Roman"/>
          <w:b w:val="false"/>
          <w:i w:val="false"/>
          <w:color w:val="000000"/>
          <w:sz w:val="24"/>
          <w:u w:val="single"/>
        </w:rPr>
        <w:t xml:space="preserve">A student who is at benchmark on two consecutive assessments pursuant to subrule </w:t>
      </w:r>
      <w:hyperlink r:id="rId24">
        <w:r>
          <w:rPr>
            <w:rStyle w:val="Hyperlink"/>
            <w:rFonts w:ascii="Times New Roman" w:hAnsi="Times New Roman"/>
            <w:b w:val="false"/>
            <w:i w:val="false"/>
            <w:color w:val="000000"/>
            <w:sz w:val="24"/>
            <w:u w:val="single"/>
          </w:rPr>
          <w:t>62.1(1)</w:t>
        </w:r>
      </w:hyperlink>
      <w:r>
        <w:rPr>
          <w:rFonts w:ascii="Times New Roman" w:hAnsi="Times New Roman"/>
          <w:b w:val="false"/>
          <w:i w:val="false"/>
          <w:color w:val="000000"/>
          <w:sz w:val="24"/>
          <w:u w:val="single"/>
        </w:rPr>
        <w:t xml:space="preserve"> or </w:t>
      </w:r>
      <w:hyperlink r:id="rId25">
        <w:r>
          <w:rPr>
            <w:rStyle w:val="Hyperlink"/>
            <w:rFonts w:ascii="Times New Roman" w:hAnsi="Times New Roman"/>
            <w:b w:val="false"/>
            <w:i w:val="false"/>
            <w:color w:val="000000"/>
            <w:sz w:val="24"/>
            <w:u w:val="single"/>
          </w:rPr>
          <w:t>62.1(2)</w:t>
        </w:r>
      </w:hyperlink>
      <w:r>
        <w:rPr>
          <w:rFonts w:ascii="Times New Roman" w:hAnsi="Times New Roman"/>
          <w:b w:val="false"/>
          <w:i w:val="false"/>
          <w:color w:val="000000"/>
          <w:sz w:val="24"/>
          <w:u w:val="single"/>
        </w:rPr>
        <w:t xml:space="preserve">, or who is approaching, meeting, or exceeding grade-level expectations (or an equivalent level of achievement) on the reading component of the language arts portion or the mathematics portion, as relevant to the student, of the statewide summative assessment administered under rule </w:t>
      </w:r>
      <w:hyperlink r:id="rId26">
        <w:r>
          <w:rPr>
            <w:rStyle w:val="Hyperlink"/>
            <w:rFonts w:ascii="Times New Roman" w:hAnsi="Times New Roman"/>
            <w:b w:val="false"/>
            <w:i w:val="false"/>
            <w:color w:val="000000"/>
            <w:sz w:val="24"/>
            <w:u w:val="single"/>
          </w:rPr>
          <w:t>281—12.8</w:t>
        </w:r>
      </w:hyperlink>
      <w:r>
        <w:rPr>
          <w:rFonts w:ascii="Times New Roman" w:hAnsi="Times New Roman"/>
          <w:b w:val="false"/>
          <w:i w:val="false"/>
          <w:color w:val="000000"/>
          <w:sz w:val="24"/>
          <w:u w:val="single"/>
        </w:rPr>
        <w:t>(256) is no longer persistently at risk.</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281—62.4(256,279)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281—62.4</w:t>
      </w:r>
      <w:r>
        <w:rPr>
          <w:rFonts w:ascii="Times New Roman" w:hAnsi="Times New Roman"/>
          <w:b/>
          <w:i w:val="false"/>
          <w:color w:val="000000"/>
          <w:sz w:val="24"/>
        </w:rPr>
        <w:t xml:space="preserve">(256,279) </w:t>
      </w:r>
      <w:r>
        <w:rPr>
          <w:rFonts w:ascii="Times New Roman" w:hAnsi="Times New Roman"/>
          <w:b/>
          <w:i w:val="false"/>
          <w:color w:val="000000"/>
          <w:sz w:val="24"/>
        </w:rPr>
        <w:t xml:space="preserve">Successful progression for early readers. </w:t>
      </w:r>
      <w:r>
        <w:rPr>
          <w:rFonts w:ascii="Times New Roman" w:hAnsi="Times New Roman"/>
          <w:b w:val="false"/>
          <w:i w:val="false"/>
          <w:color w:val="000000"/>
          <w:sz w:val="24"/>
        </w:rPr>
        <w:t>Each school district shall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62.4(1)</w:t>
      </w:r>
      <w:r>
        <w:rPr>
          <w:rFonts w:ascii="Times New Roman" w:hAnsi="Times New Roman"/>
          <w:b w:val="false"/>
          <w:i w:val="false"/>
          <w:color w:val="000000"/>
          <w:sz w:val="24"/>
        </w:rPr>
        <w:t> </w:t>
      </w:r>
      <w:r>
        <w:rPr>
          <w:rFonts w:ascii="Times New Roman" w:hAnsi="Times New Roman"/>
          <w:b w:val="false"/>
          <w:i/>
          <w:color w:val="000000"/>
          <w:sz w:val="24"/>
        </w:rPr>
        <w:t xml:space="preserve">Intensive instructional services. </w:t>
      </w:r>
      <w:r>
        <w:rPr>
          <w:rFonts w:ascii="Times New Roman" w:hAnsi="Times New Roman"/>
          <w:b w:val="false"/>
          <w:i w:val="false"/>
          <w:color w:val="000000"/>
          <w:sz w:val="24"/>
        </w:rPr>
        <w:t xml:space="preserve">A school district will provide students who are persistently at risk in reading with the services specified in Iowa Code section </w:t>
      </w:r>
      <w:hyperlink r:id="rId27">
        <w:r>
          <w:rPr>
            <w:rStyle w:val="Hyperlink"/>
            <w:rFonts w:ascii="Times New Roman" w:hAnsi="Times New Roman"/>
            <w:b w:val="false"/>
            <w:i w:val="false"/>
            <w:color w:val="000000"/>
            <w:sz w:val="24"/>
          </w:rPr>
          <w:t>279.68(2)</w:t>
        </w:r>
      </w:hyperlink>
      <w:r>
        <w:rPr>
          <w:rFonts w:ascii="Times New Roman" w:hAnsi="Times New Roman"/>
          <w:b w:val="false"/>
          <w:i/>
          <w:color w:val="000000"/>
          <w:sz w:val="24"/>
        </w:rPr>
        <w:t>“a.”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 school district will continue to provide the student with intensive reading instruction until the student is reading at grade level, at grade levels beyond grade three if necessary, as determined by the student’s consistently proficient performance on valid and reliable measures of reading ability that meet the provisions of rule </w:t>
      </w:r>
      <w:hyperlink r:id="rId28">
        <w:r>
          <w:rPr>
            <w:rStyle w:val="Hyperlink"/>
            <w:rFonts w:ascii="Times New Roman" w:hAnsi="Times New Roman"/>
            <w:b w:val="false"/>
            <w:i w:val="false"/>
            <w:color w:val="000000"/>
            <w:sz w:val="24"/>
            <w:u w:val="single"/>
          </w:rPr>
          <w:t>281—62.1</w:t>
        </w:r>
      </w:hyperlink>
      <w:r>
        <w:rPr>
          <w:rFonts w:ascii="Times New Roman" w:hAnsi="Times New Roman"/>
          <w:b w:val="false"/>
          <w:i w:val="false"/>
          <w:color w:val="000000"/>
          <w:sz w:val="24"/>
          <w:u w:val="single"/>
        </w:rPr>
        <w:t xml:space="preserve">(256,279). All services provided under this subrule will comply with rule </w:t>
      </w:r>
      <w:hyperlink r:id="rId29">
        <w:r>
          <w:rPr>
            <w:rStyle w:val="Hyperlink"/>
            <w:rFonts w:ascii="Times New Roman" w:hAnsi="Times New Roman"/>
            <w:b w:val="false"/>
            <w:i w:val="false"/>
            <w:color w:val="000000"/>
            <w:sz w:val="24"/>
            <w:u w:val="single"/>
          </w:rPr>
          <w:t>281—62.4</w:t>
        </w:r>
      </w:hyperlink>
      <w:r>
        <w:rPr>
          <w:rFonts w:ascii="Times New Roman" w:hAnsi="Times New Roman"/>
          <w:b w:val="false"/>
          <w:i w:val="false"/>
          <w:color w:val="000000"/>
          <w:sz w:val="24"/>
          <w:u w:val="single"/>
        </w:rPr>
        <w:t>(256,279).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62.4(2)</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62.4(3)</w:t>
      </w:r>
      <w:r>
        <w:rPr>
          <w:rFonts w:ascii="Times New Roman" w:hAnsi="Times New Roman"/>
          <w:b w:val="false"/>
          <w:i w:val="false"/>
          <w:color w:val="000000"/>
          <w:sz w:val="24"/>
        </w:rPr>
        <w:t> </w:t>
      </w:r>
      <w:r>
        <w:rPr>
          <w:rFonts w:ascii="Times New Roman" w:hAnsi="Times New Roman"/>
          <w:b w:val="false"/>
          <w:i/>
          <w:color w:val="000000"/>
          <w:sz w:val="24"/>
        </w:rPr>
        <w:t xml:space="preserve">Reading curriculum for students who are persistently at risk in reading. </w:t>
      </w:r>
      <w:r>
        <w:rPr>
          <w:rFonts w:ascii="Times New Roman" w:hAnsi="Times New Roman"/>
          <w:b w:val="false"/>
          <w:i w:val="false"/>
          <w:color w:val="000000"/>
          <w:sz w:val="24"/>
        </w:rPr>
        <w:t>A curriculum that does not meet the standards of this subrule shall not be used to implement this chapter. To implement this subrule, a school district will provide a curriculum that meets the following guidelines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Assists students assessed as persistently at risk in reading to develop the skills to read at grade level. Assistance shall include but not be limited to strategies that formally address dyslexia, when appropriate. For purposes of this paragraph, “dyslexia” means a specific learning disability that is neurobiological in origin, is characterized by difficulties with accurate or fluent word recognition and by poor spelling and decoding abilities, and may include difficulties that typically result from a deficit in the phonological component of language that is often unexpected in relation to other cognitive abilities and the provision of effective classroom instruction, as well as secondary consequences such as problems in reading comprehension and reduced reading experience that can impede growth of vocabulary and background knowledge.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Meets the requirements of Iowa Code section </w:t>
      </w:r>
      <w:hyperlink r:id="rId30">
        <w:r>
          <w:rPr>
            <w:rStyle w:val="Hyperlink"/>
            <w:rFonts w:ascii="Times New Roman" w:hAnsi="Times New Roman"/>
            <w:b w:val="false"/>
            <w:i w:val="false"/>
            <w:color w:val="000000"/>
            <w:sz w:val="24"/>
            <w:u w:val="single"/>
          </w:rPr>
          <w:t>279.68(2)</w:t>
        </w:r>
      </w:hyperlink>
      <w:r>
        <w:rPr>
          <w:rFonts w:ascii="Times New Roman" w:hAnsi="Times New Roman"/>
          <w:b w:val="false"/>
          <w:i/>
          <w:color w:val="000000"/>
          <w:sz w:val="24"/>
          <w:u w:val="single"/>
        </w:rPr>
        <w:t>“d”</w:t>
      </w:r>
      <w:r>
        <w:rPr>
          <w:rFonts w:ascii="Times New Roman" w:hAnsi="Times New Roman"/>
          <w:b w:val="false"/>
          <w:i w:val="false"/>
          <w:color w:val="000000"/>
          <w:sz w:val="24"/>
          <w:u w:val="single"/>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Provides skill development in phonemic awareness, phonics, fluency, vocabulary, and comprehension.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xml:space="preserve"> </w:t>
      </w:r>
      <w:r>
        <w:rPr>
          <w:rFonts w:ascii="Times New Roman" w:hAnsi="Times New Roman"/>
          <w:b w:val="false"/>
          <w:i/>
          <w:color w:val="000000"/>
          <w:sz w:val="24"/>
          <w:u w:val="single"/>
        </w:rPr>
        <w:t>b.</w:t>
      </w:r>
      <w:r>
        <w:rPr>
          <w:rFonts w:ascii="Times New Roman" w:hAnsi="Times New Roman"/>
          <w:b w:val="false"/>
          <w:i w:val="false"/>
          <w:color w:val="000000"/>
          <w:sz w:val="24"/>
        </w:rPr>
        <w:t>Is supported by scientifically based research in reading.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u w:val="single"/>
        </w:rPr>
        <w:t>c.</w:t>
      </w:r>
      <w:r>
        <w:rPr>
          <w:rFonts w:ascii="Times New Roman" w:hAnsi="Times New Roman"/>
          <w:b w:val="false"/>
          <w:i w:val="false"/>
          <w:color w:val="000000"/>
          <w:sz w:val="24"/>
        </w:rPr>
        <w:t xml:space="preserve">Is implemented by certified instructional staff with appropriate training and professional development. Such training and professional development will meet the provisions of </w:t>
      </w:r>
      <w:hyperlink r:id="rId31">
        <w:r>
          <w:rPr>
            <w:rStyle w:val="Hyperlink"/>
            <w:rFonts w:ascii="Times New Roman" w:hAnsi="Times New Roman"/>
            <w:b w:val="false"/>
            <w:i w:val="false"/>
            <w:color w:val="000000"/>
            <w:sz w:val="24"/>
          </w:rPr>
          <w:t>281—Chapter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e.</w:t>
      </w:r>
      <w:r>
        <w:rPr>
          <w:rFonts w:ascii="Times New Roman" w:hAnsi="Times New Roman"/>
          <w:b w:val="false"/>
          <w:i w:val="false"/>
          <w:color w:val="000000"/>
          <w:sz w:val="24"/>
        </w:rPr>
        <w:t xml:space="preserve"> </w:t>
      </w:r>
      <w:r>
        <w:rPr>
          <w:rFonts w:ascii="Times New Roman" w:hAnsi="Times New Roman"/>
          <w:b w:val="false"/>
          <w:i/>
          <w:color w:val="000000"/>
          <w:sz w:val="24"/>
          <w:u w:val="single"/>
        </w:rPr>
        <w:t>d.</w:t>
      </w:r>
      <w:r>
        <w:rPr>
          <w:rFonts w:ascii="Times New Roman" w:hAnsi="Times New Roman"/>
          <w:b w:val="false"/>
          <w:i w:val="false"/>
          <w:color w:val="000000"/>
          <w:sz w:val="24"/>
        </w:rPr>
        <w:t>Is implemented by certified instructional staff with fidelity, which meets such standards for fidelity of implementation that the department may adopt.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f.</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Includes a scientifically based and reliable assessment, which meets the provisions of rule </w:t>
      </w:r>
      <w:hyperlink r:id="rId32">
        <w:r>
          <w:rPr>
            <w:rStyle w:val="Hyperlink"/>
            <w:rFonts w:ascii="Times New Roman" w:hAnsi="Times New Roman"/>
            <w:b w:val="false"/>
            <w:i w:val="false"/>
            <w:strike/>
            <w:color w:val="000000"/>
            <w:sz w:val="24"/>
          </w:rPr>
          <w:t>281—62.1</w:t>
        </w:r>
      </w:hyperlink>
      <w:r>
        <w:rPr>
          <w:rFonts w:ascii="Times New Roman" w:hAnsi="Times New Roman"/>
          <w:b w:val="false"/>
          <w:i w:val="false"/>
          <w:strike/>
          <w:color w:val="000000"/>
          <w:sz w:val="24"/>
        </w:rPr>
        <w:t>(256,279).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g.</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Provides initial and ongoing analysis of each student’s reading progress, which meets the provisions of rule </w:t>
      </w:r>
      <w:hyperlink r:id="rId33">
        <w:r>
          <w:rPr>
            <w:rStyle w:val="Hyperlink"/>
            <w:rFonts w:ascii="Times New Roman" w:hAnsi="Times New Roman"/>
            <w:b w:val="false"/>
            <w:i w:val="false"/>
            <w:strike/>
            <w:color w:val="000000"/>
            <w:sz w:val="24"/>
          </w:rPr>
          <w:t>281—62.1</w:t>
        </w:r>
      </w:hyperlink>
      <w:r>
        <w:rPr>
          <w:rFonts w:ascii="Times New Roman" w:hAnsi="Times New Roman"/>
          <w:b w:val="false"/>
          <w:i w:val="false"/>
          <w:strike/>
          <w:color w:val="000000"/>
          <w:sz w:val="24"/>
        </w:rPr>
        <w:t xml:space="preserve">(256,279), with notice provided to parents pursuant to subrule </w:t>
      </w:r>
      <w:hyperlink r:id="rId34">
        <w:r>
          <w:rPr>
            <w:rStyle w:val="Hyperlink"/>
            <w:rFonts w:ascii="Times New Roman" w:hAnsi="Times New Roman"/>
            <w:b w:val="false"/>
            <w:i w:val="false"/>
            <w:strike/>
            <w:color w:val="000000"/>
            <w:sz w:val="24"/>
          </w:rPr>
          <w:t>62.4(4)</w:t>
        </w:r>
      </w:hyperlink>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h.</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Is implemented during regular school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i.</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Provides a curriculum in core academic subjects to assist the student in maintaining or meeting proficiency levels for the appropriate grade in all academic subjects.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62.4(4)</w:t>
      </w:r>
      <w:r>
        <w:rPr>
          <w:rFonts w:ascii="Times New Roman" w:hAnsi="Times New Roman"/>
          <w:b w:val="false"/>
          <w:i w:val="false"/>
          <w:color w:val="000000"/>
          <w:sz w:val="24"/>
        </w:rPr>
        <w:t> </w:t>
      </w:r>
      <w:r>
        <w:rPr>
          <w:rFonts w:ascii="Times New Roman" w:hAnsi="Times New Roman"/>
          <w:b w:val="false"/>
          <w:i/>
          <w:color w:val="000000"/>
          <w:sz w:val="24"/>
        </w:rPr>
        <w:t xml:space="preserve">Parent notice, involvement and support. </w:t>
      </w:r>
      <w:r>
        <w:rPr>
          <w:rFonts w:ascii="Times New Roman" w:hAnsi="Times New Roman"/>
          <w:b w:val="false"/>
          <w:i w:val="false"/>
          <w:color w:val="000000"/>
          <w:sz w:val="24"/>
        </w:rPr>
        <w:t xml:space="preserve">At a minimum and in addition to other provisions of this chapter, school districts will provide </w:t>
      </w:r>
      <w:r>
        <w:rPr>
          <w:rFonts w:ascii="Times New Roman" w:hAnsi="Times New Roman"/>
          <w:b w:val="false"/>
          <w:i w:val="false"/>
          <w:strike/>
          <w:color w:val="000000"/>
          <w:sz w:val="24"/>
        </w:rPr>
        <w:t>the following</w:t>
      </w:r>
      <w:r>
        <w:rPr>
          <w:rFonts w:ascii="Times New Roman" w:hAnsi="Times New Roman"/>
          <w:b w:val="false"/>
          <w:i w:val="false"/>
          <w:color w:val="000000"/>
          <w:sz w:val="24"/>
        </w:rPr>
        <w:t xml:space="preserve"> to all parents or guardians of students who are persistently at risk in reading</w:t>
      </w:r>
      <w:r>
        <w:rPr>
          <w:rFonts w:ascii="Times New Roman" w:hAnsi="Times New Roman"/>
          <w:b w:val="false"/>
          <w:i w:val="false"/>
          <w:strik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information required by Iowa Code section </w:t>
      </w:r>
      <w:hyperlink r:id="rId35">
        <w:r>
          <w:rPr>
            <w:rStyle w:val="Hyperlink"/>
            <w:rFonts w:ascii="Times New Roman" w:hAnsi="Times New Roman"/>
            <w:b w:val="false"/>
            <w:i w:val="false"/>
            <w:color w:val="000000"/>
            <w:sz w:val="24"/>
            <w:u w:val="single"/>
          </w:rPr>
          <w:t>279.68(2)</w:t>
        </w:r>
      </w:hyperlink>
      <w:r>
        <w:rPr>
          <w:rFonts w:ascii="Times New Roman" w:hAnsi="Times New Roman"/>
          <w:b w:val="false"/>
          <w:i/>
          <w:color w:val="000000"/>
          <w:sz w:val="24"/>
          <w:u w:val="single"/>
        </w:rPr>
        <w:t>“b”</w:t>
      </w:r>
      <w:r>
        <w:rPr>
          <w:rFonts w:ascii="Times New Roman" w:hAnsi="Times New Roman"/>
          <w:b w:val="false"/>
          <w:i w:val="false"/>
          <w:color w:val="000000"/>
          <w:sz w:val="24"/>
          <w:u w:val="single"/>
        </w:rPr>
        <w:t xml:space="preserve"> and </w:t>
      </w:r>
      <w:r>
        <w:rPr>
          <w:rFonts w:ascii="Times New Roman" w:hAnsi="Times New Roman"/>
          <w:b w:val="false"/>
          <w:i/>
          <w:color w:val="000000"/>
          <w:sz w:val="24"/>
          <w:u w:val="single"/>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At regular intervals, a school district will apprise the parent or guardian of academic and other progress being made by the student and give the parent or guardian other useful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In addition to required reading enhancement and acceleration strategies provided to students, a school district will provide parents or guardians of students who are persistently at risk in reading with a plan outlined in a parental contract, including participation in regular parent-guided home reading.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62.4(5)</w:t>
      </w:r>
      <w:r>
        <w:rPr>
          <w:rFonts w:ascii="Times New Roman" w:hAnsi="Times New Roman"/>
          <w:b w:val="false"/>
          <w:i w:val="false"/>
          <w:color w:val="000000"/>
          <w:sz w:val="24"/>
        </w:rPr>
        <w:t> </w:t>
      </w:r>
      <w:r>
        <w:rPr>
          <w:rFonts w:ascii="Times New Roman" w:hAnsi="Times New Roman"/>
          <w:b w:val="false"/>
          <w:i/>
          <w:color w:val="000000"/>
          <w:sz w:val="24"/>
        </w:rPr>
        <w:t xml:space="preserve">Report to the department. </w:t>
      </w:r>
      <w:r>
        <w:rPr>
          <w:rFonts w:ascii="Times New Roman" w:hAnsi="Times New Roman"/>
          <w:b w:val="false"/>
          <w:i w:val="false"/>
          <w:color w:val="000000"/>
          <w:sz w:val="24"/>
        </w:rPr>
        <w:t xml:space="preserve">Each school district will report to the department </w:t>
      </w:r>
      <w:r>
        <w:rPr>
          <w:rFonts w:ascii="Times New Roman" w:hAnsi="Times New Roman"/>
          <w:b w:val="false"/>
          <w:i w:val="false"/>
          <w:strike/>
          <w:color w:val="000000"/>
          <w:sz w:val="24"/>
        </w:rPr>
        <w:t>the specific intensive reading interventions and supports implemented by the school district pursuant to this chapter. The department will annually prescribe the components of required or requested reports.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in a manner specified in Iowa Code section </w:t>
      </w:r>
      <w:hyperlink r:id="rId36">
        <w:r>
          <w:rPr>
            <w:rStyle w:val="Hyperlink"/>
            <w:rFonts w:ascii="Times New Roman" w:hAnsi="Times New Roman"/>
            <w:b w:val="false"/>
            <w:i w:val="false"/>
            <w:color w:val="000000"/>
            <w:sz w:val="24"/>
            <w:u w:val="single"/>
          </w:rPr>
          <w:t>279.68(2)</w:t>
        </w:r>
      </w:hyperlink>
      <w:r>
        <w:rPr>
          <w:rFonts w:ascii="Times New Roman" w:hAnsi="Times New Roman"/>
          <w:b w:val="false"/>
          <w:i/>
          <w:color w:val="000000"/>
          <w:sz w:val="24"/>
          <w:u w:val="single"/>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62.4(6)</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62.4(7)</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Written notice. </w:t>
      </w:r>
      <w:r>
        <w:rPr>
          <w:rFonts w:ascii="Times New Roman" w:hAnsi="Times New Roman"/>
          <w:b w:val="false"/>
          <w:i w:val="false"/>
          <w:color w:val="000000"/>
          <w:sz w:val="24"/>
          <w:u w:val="single"/>
        </w:rPr>
        <w:t xml:space="preserve">Each school district will provide notice to parents of students who are persistently at risk in reading in grades kindergarten through grade six in a manner prescribed by Iowa Code section </w:t>
      </w:r>
      <w:hyperlink r:id="rId37">
        <w:r>
          <w:rPr>
            <w:rStyle w:val="Hyperlink"/>
            <w:rFonts w:ascii="Times New Roman" w:hAnsi="Times New Roman"/>
            <w:b w:val="false"/>
            <w:i w:val="false"/>
            <w:color w:val="000000"/>
            <w:sz w:val="24"/>
            <w:u w:val="single"/>
          </w:rPr>
          <w:t>279.68(1)</w:t>
        </w:r>
      </w:hyperlink>
      <w:r>
        <w:rPr>
          <w:rFonts w:ascii="Times New Roman" w:hAnsi="Times New Roman"/>
          <w:b w:val="false"/>
          <w:i/>
          <w:color w:val="000000"/>
          <w:sz w:val="24"/>
          <w:u w:val="single"/>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62.4(8)</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Personalized reading plans. </w:t>
      </w:r>
      <w:r>
        <w:rPr>
          <w:rFonts w:ascii="Times New Roman" w:hAnsi="Times New Roman"/>
          <w:b w:val="false"/>
          <w:i w:val="false"/>
          <w:color w:val="000000"/>
          <w:sz w:val="24"/>
          <w:u w:val="single"/>
        </w:rPr>
        <w:t xml:space="preserve">Each school district will engage parents of students who are persistently at risk in the development of personalized reading plans in a manner prescribed by Iowa Code section </w:t>
      </w:r>
      <w:hyperlink r:id="rId38">
        <w:r>
          <w:rPr>
            <w:rStyle w:val="Hyperlink"/>
            <w:rFonts w:ascii="Times New Roman" w:hAnsi="Times New Roman"/>
            <w:b w:val="false"/>
            <w:i w:val="false"/>
            <w:color w:val="000000"/>
            <w:sz w:val="24"/>
            <w:u w:val="single"/>
          </w:rPr>
          <w:t>279.68(1)</w:t>
        </w:r>
      </w:hyperlink>
      <w:r>
        <w:rPr>
          <w:rFonts w:ascii="Times New Roman" w:hAnsi="Times New Roman"/>
          <w:b w:val="false"/>
          <w:i/>
          <w:color w:val="000000"/>
          <w:sz w:val="24"/>
          <w:u w:val="single"/>
        </w:rPr>
        <w:t>“d”</w:t>
      </w:r>
      <w:r>
        <w:rPr>
          <w:rFonts w:ascii="Times New Roman" w:hAnsi="Times New Roman"/>
          <w:b w:val="false"/>
          <w:i w:val="false"/>
          <w:color w:val="000000"/>
          <w:sz w:val="24"/>
          <w:u w:val="single"/>
        </w:rPr>
        <w:t xml:space="preserve"> through the end of sixth grade. A school district may provide personalized reading plans to students who are at risk in reading. A school district may consolidate the plan required by this subrule with the requirements of subrule </w:t>
      </w:r>
      <w:hyperlink r:id="rId39">
        <w:r>
          <w:rPr>
            <w:rStyle w:val="Hyperlink"/>
            <w:rFonts w:ascii="Times New Roman" w:hAnsi="Times New Roman"/>
            <w:b w:val="false"/>
            <w:i w:val="false"/>
            <w:color w:val="000000"/>
            <w:sz w:val="24"/>
            <w:u w:val="single"/>
          </w:rPr>
          <w:t>62.4(4)</w:t>
        </w:r>
      </w:hyperlink>
      <w:r>
        <w:rPr>
          <w:rFonts w:ascii="Times New Roman" w:hAnsi="Times New Roman"/>
          <w:b w:val="false"/>
          <w:i w:val="false"/>
          <w:color w:val="000000"/>
          <w:sz w:val="24"/>
          <w:u w:val="single"/>
        </w:rPr>
        <w:t xml:space="preserve"> for students who are in kindergarten through third grade. The department may provide a sample plan or instructions to obtain substantial compliance with the requirements of this subrule and subrule </w:t>
      </w:r>
      <w:hyperlink r:id="rId40">
        <w:r>
          <w:rPr>
            <w:rStyle w:val="Hyperlink"/>
            <w:rFonts w:ascii="Times New Roman" w:hAnsi="Times New Roman"/>
            <w:b w:val="false"/>
            <w:i w:val="false"/>
            <w:color w:val="000000"/>
            <w:sz w:val="24"/>
            <w:u w:val="single"/>
          </w:rPr>
          <w:t>62.2(4)</w:t>
        </w:r>
      </w:hyperlink>
      <w:r>
        <w:rPr>
          <w:rFonts w:ascii="Times New Roman" w:hAnsi="Times New Roman"/>
          <w:b w:val="false"/>
          <w:i w:val="false"/>
          <w:color w:val="000000"/>
          <w:sz w:val="24"/>
          <w:u w:val="single"/>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281—62.5(256,279)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281—62.5</w:t>
      </w:r>
      <w:r>
        <w:rPr>
          <w:rFonts w:ascii="Times New Roman" w:hAnsi="Times New Roman"/>
          <w:b/>
          <w:i w:val="false"/>
          <w:color w:val="000000"/>
          <w:sz w:val="24"/>
        </w:rPr>
        <w:t xml:space="preserve">(256,279) </w:t>
      </w:r>
      <w:r>
        <w:rPr>
          <w:rFonts w:ascii="Times New Roman" w:hAnsi="Times New Roman"/>
          <w:b/>
          <w:i w:val="false"/>
          <w:color w:val="000000"/>
          <w:sz w:val="24"/>
        </w:rPr>
        <w:t xml:space="preserve">Ensuring continuous improvement in reading proficiency.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62.5(1)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strike/>
          <w:color w:val="000000"/>
          <w:sz w:val="24"/>
        </w:rPr>
        <w:t>To ensure all children are reading proficiently by the end of third grade, each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Each</w:t>
      </w:r>
      <w:r>
        <w:rPr>
          <w:rFonts w:ascii="Times New Roman" w:hAnsi="Times New Roman"/>
          <w:b w:val="false"/>
          <w:i w:val="false"/>
          <w:color w:val="000000"/>
          <w:sz w:val="24"/>
        </w:rPr>
        <w:t xml:space="preserve"> school district will comply with the provisions of Iowa Code section </w:t>
      </w:r>
      <w:hyperlink r:id="rId41">
        <w:r>
          <w:rPr>
            <w:rStyle w:val="Hyperlink"/>
            <w:rFonts w:ascii="Times New Roman" w:hAnsi="Times New Roman"/>
            <w:b w:val="false"/>
            <w:i w:val="false"/>
            <w:color w:val="000000"/>
            <w:sz w:val="24"/>
          </w:rPr>
          <w:t>279.68(3)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62.5(2)</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62.5(3)</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Universal literacy curriculum. </w:t>
      </w:r>
      <w:r>
        <w:rPr>
          <w:rFonts w:ascii="Times New Roman" w:hAnsi="Times New Roman"/>
          <w:b w:val="false"/>
          <w:i w:val="false"/>
          <w:color w:val="000000"/>
          <w:sz w:val="24"/>
          <w:u w:val="single"/>
        </w:rPr>
        <w:t xml:space="preserve">In addition to the requirements of subrule </w:t>
      </w:r>
      <w:hyperlink r:id="rId42">
        <w:r>
          <w:rPr>
            <w:rStyle w:val="Hyperlink"/>
            <w:rFonts w:ascii="Times New Roman" w:hAnsi="Times New Roman"/>
            <w:b w:val="false"/>
            <w:i w:val="false"/>
            <w:color w:val="000000"/>
            <w:sz w:val="24"/>
            <w:u w:val="single"/>
          </w:rPr>
          <w:t>62.5(1)</w:t>
        </w:r>
      </w:hyperlink>
      <w:r>
        <w:rPr>
          <w:rFonts w:ascii="Times New Roman" w:hAnsi="Times New Roman"/>
          <w:b w:val="false"/>
          <w:i w:val="false"/>
          <w:color w:val="000000"/>
          <w:sz w:val="24"/>
          <w:u w:val="single"/>
        </w:rPr>
        <w:t>, each school district will implement a literacy curriculum to ensure universal access to high-quality literacy instruction. Such a curriculum includes evidence-based reading instruction, determined by research, including those practices identified within the statewide literacy plan and employing high-quality instructional materials, and shall not include instruction or practical application on teaching foundational reading that incorporates the three-cueing system.</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281—62.6(256,279)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281—62.6</w:t>
      </w:r>
      <w:r>
        <w:rPr>
          <w:rFonts w:ascii="Times New Roman" w:hAnsi="Times New Roman"/>
          <w:b/>
          <w:i w:val="false"/>
          <w:color w:val="000000"/>
          <w:sz w:val="24"/>
        </w:rPr>
        <w:t xml:space="preserve">(256,279) </w:t>
      </w:r>
      <w:r>
        <w:rPr>
          <w:rFonts w:ascii="Times New Roman" w:hAnsi="Times New Roman"/>
          <w:b/>
          <w:i w:val="false"/>
          <w:color w:val="000000"/>
          <w:sz w:val="24"/>
        </w:rPr>
        <w:t xml:space="preserve">Miscellaneous provisions: reading.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62.6(1)</w:t>
      </w:r>
      <w:r>
        <w:rPr>
          <w:rFonts w:ascii="Times New Roman" w:hAnsi="Times New Roman"/>
          <w:b w:val="false"/>
          <w:i w:val="false"/>
          <w:color w:val="000000"/>
          <w:sz w:val="24"/>
        </w:rPr>
        <w:t> </w:t>
      </w:r>
      <w:r>
        <w:rPr>
          <w:rFonts w:ascii="Times New Roman" w:hAnsi="Times New Roman"/>
          <w:b w:val="false"/>
          <w:i/>
          <w:color w:val="000000"/>
          <w:sz w:val="24"/>
        </w:rPr>
        <w:t xml:space="preserve">Services beyond third grade: additional provisions. </w:t>
      </w:r>
      <w:r>
        <w:rPr>
          <w:rFonts w:ascii="Times New Roman" w:hAnsi="Times New Roman"/>
          <w:b w:val="false"/>
          <w:i w:val="false"/>
          <w:color w:val="000000"/>
          <w:sz w:val="24"/>
        </w:rPr>
        <w:t xml:space="preserve">Students who are identified as persistently at risk in reading at the end of third grade remain entitled to intensive reading instruction until they exit from this status under subrule </w:t>
      </w:r>
      <w:hyperlink r:id="rId43">
        <w:r>
          <w:rPr>
            <w:rStyle w:val="Hyperlink"/>
            <w:rFonts w:ascii="Times New Roman" w:hAnsi="Times New Roman"/>
            <w:b w:val="false"/>
            <w:i w:val="false"/>
            <w:color w:val="000000"/>
            <w:sz w:val="24"/>
          </w:rPr>
          <w:t>62.3(5)</w:t>
        </w:r>
      </w:hyperlink>
      <w:r>
        <w:rPr>
          <w:rFonts w:ascii="Times New Roman" w:hAnsi="Times New Roman"/>
          <w:b w:val="false"/>
          <w:i w:val="false"/>
          <w:color w:val="000000"/>
          <w:sz w:val="24"/>
        </w:rPr>
        <w:t xml:space="preserve"> or through the end of sixth grade, whichever occurs first. A student is initially identified as persistently at risk in grades four through six if the student is below grade-level expectation on the reading component of the language arts component of the statewide summative assessment administered under rule </w:t>
      </w:r>
      <w:hyperlink r:id="rId44">
        <w:r>
          <w:rPr>
            <w:rStyle w:val="Hyperlink"/>
            <w:rFonts w:ascii="Times New Roman" w:hAnsi="Times New Roman"/>
            <w:b w:val="false"/>
            <w:i w:val="false"/>
            <w:color w:val="000000"/>
            <w:sz w:val="24"/>
          </w:rPr>
          <w:t>281—12.8(256)</w:t>
        </w:r>
      </w:hyperlink>
      <w:r>
        <w:rPr>
          <w:rFonts w:ascii="Times New Roman" w:hAnsi="Times New Roman"/>
          <w:b w:val="false"/>
          <w:i w:val="false"/>
          <w:color w:val="000000"/>
          <w:sz w:val="24"/>
        </w:rPr>
        <w:t xml:space="preserve"> or is identified as persistently at risk under subrules </w:t>
      </w:r>
      <w:hyperlink r:id="rId45">
        <w:r>
          <w:rPr>
            <w:rStyle w:val="Hyperlink"/>
            <w:rFonts w:ascii="Times New Roman" w:hAnsi="Times New Roman"/>
            <w:b w:val="false"/>
            <w:i w:val="false"/>
            <w:color w:val="000000"/>
            <w:sz w:val="24"/>
          </w:rPr>
          <w:t>62.3(1)</w:t>
        </w:r>
      </w:hyperlink>
      <w:r>
        <w:rPr>
          <w:rFonts w:ascii="Times New Roman" w:hAnsi="Times New Roman"/>
          <w:b w:val="false"/>
          <w:i w:val="false"/>
          <w:color w:val="000000"/>
          <w:sz w:val="24"/>
        </w:rPr>
        <w:t xml:space="preserve"> and </w:t>
      </w:r>
      <w:hyperlink r:id="rId46">
        <w:r>
          <w:rPr>
            <w:rStyle w:val="Hyperlink"/>
            <w:rFonts w:ascii="Times New Roman" w:hAnsi="Times New Roman"/>
            <w:b w:val="false"/>
            <w:i w:val="false"/>
            <w:color w:val="000000"/>
            <w:sz w:val="24"/>
          </w:rPr>
          <w:t>62.3(2)</w:t>
        </w:r>
      </w:hyperlink>
      <w:r>
        <w:rPr>
          <w:rFonts w:ascii="Times New Roman" w:hAnsi="Times New Roman"/>
          <w:b w:val="false"/>
          <w:i w:val="false"/>
          <w:color w:val="000000"/>
          <w:sz w:val="24"/>
        </w:rPr>
        <w:t xml:space="preserve">, should a district choose to administer those subrules in grades four through six. Students who are identified as persistently at risk in reading in grades four through six remain entitled to intensive reading instruction until they exit from this status under subrule </w:t>
      </w:r>
      <w:hyperlink r:id="rId47">
        <w:r>
          <w:rPr>
            <w:rStyle w:val="Hyperlink"/>
            <w:rFonts w:ascii="Times New Roman" w:hAnsi="Times New Roman"/>
            <w:b w:val="false"/>
            <w:i w:val="false"/>
            <w:color w:val="000000"/>
            <w:sz w:val="24"/>
          </w:rPr>
          <w:t>62.3(5)</w:t>
        </w:r>
      </w:hyperlink>
      <w:r>
        <w:rPr>
          <w:rFonts w:ascii="Times New Roman" w:hAnsi="Times New Roman"/>
          <w:b w:val="false"/>
          <w:i w:val="false"/>
          <w:color w:val="000000"/>
          <w:sz w:val="24"/>
        </w:rPr>
        <w:t xml:space="preserve"> or through the end of sixth grade, whichever occurs first.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62.6(2)</w:t>
      </w:r>
      <w:r>
        <w:rPr>
          <w:rFonts w:ascii="Times New Roman" w:hAnsi="Times New Roman"/>
          <w:b w:val="false"/>
          <w:i w:val="false"/>
          <w:color w:val="000000"/>
          <w:sz w:val="24"/>
        </w:rPr>
        <w:t> </w:t>
      </w:r>
      <w:r>
        <w:rPr>
          <w:rFonts w:ascii="Times New Roman" w:hAnsi="Times New Roman"/>
          <w:b w:val="false"/>
          <w:i/>
          <w:color w:val="000000"/>
          <w:sz w:val="24"/>
        </w:rPr>
        <w:t xml:space="preserve">Database. </w:t>
      </w:r>
      <w:r>
        <w:rPr>
          <w:rFonts w:ascii="Times New Roman" w:hAnsi="Times New Roman"/>
          <w:b w:val="false"/>
          <w:i w:val="false"/>
          <w:color w:val="000000"/>
          <w:sz w:val="24"/>
        </w:rPr>
        <w:t xml:space="preserve">In implementing subrule </w:t>
      </w:r>
      <w:hyperlink r:id="rId48">
        <w:r>
          <w:rPr>
            <w:rStyle w:val="Hyperlink"/>
            <w:rFonts w:ascii="Times New Roman" w:hAnsi="Times New Roman"/>
            <w:b w:val="false"/>
            <w:i w:val="false"/>
            <w:color w:val="000000"/>
            <w:sz w:val="24"/>
          </w:rPr>
          <w:t>62.4(5)</w:t>
        </w:r>
      </w:hyperlink>
      <w:r>
        <w:rPr>
          <w:rFonts w:ascii="Times New Roman" w:hAnsi="Times New Roman"/>
          <w:b w:val="false"/>
          <w:i w:val="false"/>
          <w:color w:val="000000"/>
          <w:sz w:val="24"/>
        </w:rPr>
        <w:t>, the department may require school districts to enter assessment and progress monitoring data into a statewide database.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62.6(3)</w:t>
      </w:r>
      <w:r>
        <w:rPr>
          <w:rFonts w:ascii="Times New Roman" w:hAnsi="Times New Roman"/>
          <w:b w:val="false"/>
          <w:i w:val="false"/>
          <w:color w:val="000000"/>
          <w:sz w:val="24"/>
        </w:rPr>
        <w:t> </w:t>
      </w:r>
      <w:r>
        <w:rPr>
          <w:rFonts w:ascii="Times New Roman" w:hAnsi="Times New Roman"/>
          <w:b w:val="false"/>
          <w:i/>
          <w:color w:val="000000"/>
          <w:sz w:val="24"/>
        </w:rPr>
        <w:t xml:space="preserve">Accredited nonpublic schools. </w:t>
      </w:r>
      <w:r>
        <w:rPr>
          <w:rFonts w:ascii="Times New Roman" w:hAnsi="Times New Roman"/>
          <w:b w:val="false"/>
          <w:i w:val="false"/>
          <w:color w:val="000000"/>
          <w:sz w:val="24"/>
        </w:rPr>
        <w:t xml:space="preserve">Nothing in this chapter prevents an accredited nonpublic school from voluntarily complying with this chapter. Nothing in this chapter prevents the department from offering universal screening or progress monitoring instruments to accredited nonpublic school students or prevents the department from allowing inclusion of those students’ data in the database described in subrule </w:t>
      </w:r>
      <w:hyperlink r:id="rId49">
        <w:r>
          <w:rPr>
            <w:rStyle w:val="Hyperlink"/>
            <w:rFonts w:ascii="Times New Roman" w:hAnsi="Times New Roman"/>
            <w:b w:val="false"/>
            <w:i w:val="false"/>
            <w:color w:val="000000"/>
            <w:sz w:val="24"/>
          </w:rPr>
          <w:t>62.6(2)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62.6(4)</w:t>
      </w:r>
      <w:r>
        <w:rPr>
          <w:rFonts w:ascii="Times New Roman" w:hAnsi="Times New Roman"/>
          <w:b w:val="false"/>
          <w:i w:val="false"/>
          <w:color w:val="000000"/>
          <w:sz w:val="24"/>
        </w:rPr>
        <w:t> </w:t>
      </w:r>
      <w:r>
        <w:rPr>
          <w:rFonts w:ascii="Times New Roman" w:hAnsi="Times New Roman"/>
          <w:b w:val="false"/>
          <w:i/>
          <w:color w:val="000000"/>
          <w:sz w:val="24"/>
        </w:rPr>
        <w:t xml:space="preserve">Rules of construction. </w:t>
      </w:r>
      <w:r>
        <w:rPr>
          <w:rFonts w:ascii="Times New Roman" w:hAnsi="Times New Roman"/>
          <w:b w:val="false"/>
          <w:i w:val="false"/>
          <w:color w:val="000000"/>
          <w:sz w:val="24"/>
        </w:rPr>
        <w:t>Nothing in this chapter obligates a school district to select a particular assessment, instrument, tool, curriculum, or program, so long as the assessment, instrument, tool, curriculum, or program used meets the provisions of this chapter. Nothing in this chapter limits a school district from voluntarily providing services beyond sixth grade to students who need additional support in reading.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rules  </w:t>
      </w:r>
      <w:r>
        <w:rPr>
          <w:rFonts w:ascii="Times New Roman" w:hAnsi="Times New Roman"/>
          <w:b w:val="false"/>
          <w:i w:val="false"/>
          <w:color w:val="000000"/>
          <w:sz w:val="24"/>
        </w:rPr>
        <w:t>281—62.7</w:t>
      </w:r>
      <w:r>
        <w:rPr>
          <w:rFonts w:ascii="Times New Roman" w:hAnsi="Times New Roman"/>
          <w:b w:val="false"/>
          <w:i w:val="false"/>
          <w:color w:val="000000"/>
          <w:sz w:val="24"/>
        </w:rPr>
        <w:t>(256,279) to  </w:t>
      </w:r>
      <w:r>
        <w:rPr>
          <w:rFonts w:ascii="Times New Roman" w:hAnsi="Times New Roman"/>
          <w:b w:val="false"/>
          <w:i w:val="false"/>
          <w:color w:val="000000"/>
          <w:sz w:val="24"/>
        </w:rPr>
        <w:t>281—62.9</w:t>
      </w:r>
      <w:r>
        <w:rPr>
          <w:rFonts w:ascii="Times New Roman" w:hAnsi="Times New Roman"/>
          <w:b w:val="false"/>
          <w:i w:val="false"/>
          <w:color w:val="000000"/>
          <w:sz w:val="24"/>
        </w:rPr>
        <w:t>(256,279):</w:t>
      </w:r>
    </w:p>
    <w:p>
      <w:pPr>
        <w:spacing w:before="0" w:after="0" w:line="480"/>
        <w:ind w:left="120"/>
        <w:jc w:val="both"/>
      </w:pPr>
      <w:r>
        <w:rPr>
          <w:rFonts w:ascii="Times New Roman" w:hAnsi="Times New Roman"/>
          <w:b/>
          <w:i w:val="false"/>
          <w:color w:val="000000"/>
          <w:sz w:val="24"/>
        </w:rPr>
        <w:t>281—62.7</w:t>
      </w:r>
      <w:r>
        <w:rPr>
          <w:rFonts w:ascii="Times New Roman" w:hAnsi="Times New Roman"/>
          <w:b/>
          <w:i w:val="false"/>
          <w:color w:val="000000"/>
          <w:sz w:val="24"/>
        </w:rPr>
        <w:t xml:space="preserve">(256,279) </w:t>
      </w:r>
      <w:r>
        <w:rPr>
          <w:rFonts w:ascii="Times New Roman" w:hAnsi="Times New Roman"/>
          <w:b/>
          <w:i w:val="false"/>
          <w:color w:val="000000"/>
          <w:sz w:val="24"/>
        </w:rPr>
        <w:t xml:space="preserve">Services and supports for students who are persistently at risk in mathematics.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62.7(1)</w:t>
      </w:r>
      <w:r>
        <w:rPr>
          <w:rFonts w:ascii="Times New Roman" w:hAnsi="Times New Roman"/>
          <w:b w:val="false"/>
          <w:i w:val="false"/>
          <w:color w:val="000000"/>
          <w:sz w:val="24"/>
        </w:rPr>
        <w:t> </w:t>
      </w:r>
      <w:r>
        <w:rPr>
          <w:rFonts w:ascii="Times New Roman" w:hAnsi="Times New Roman"/>
          <w:b w:val="false"/>
          <w:i/>
          <w:color w:val="000000"/>
          <w:sz w:val="24"/>
        </w:rPr>
        <w:t xml:space="preserve">Supports and interventions for students who are persistently at risk in mathematics. </w:t>
      </w:r>
      <w:r>
        <w:rPr>
          <w:rFonts w:ascii="Times New Roman" w:hAnsi="Times New Roman"/>
          <w:b w:val="false"/>
          <w:i w:val="false"/>
          <w:color w:val="000000"/>
          <w:sz w:val="24"/>
        </w:rPr>
        <w:t xml:space="preserve">A student who is persistently at risk under rule </w:t>
      </w:r>
      <w:hyperlink r:id="rId50">
        <w:r>
          <w:rPr>
            <w:rStyle w:val="Hyperlink"/>
            <w:rFonts w:ascii="Times New Roman" w:hAnsi="Times New Roman"/>
            <w:b w:val="false"/>
            <w:i w:val="false"/>
            <w:color w:val="000000"/>
            <w:sz w:val="24"/>
          </w:rPr>
          <w:t>281—62.3</w:t>
        </w:r>
      </w:hyperlink>
      <w:r>
        <w:rPr>
          <w:rFonts w:ascii="Times New Roman" w:hAnsi="Times New Roman"/>
          <w:b w:val="false"/>
          <w:i w:val="false"/>
          <w:color w:val="000000"/>
          <w:sz w:val="24"/>
        </w:rPr>
        <w:t>(256,279) is entitled to supports and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Supports and interventions under this subrule will be research-based and implemented with fidelity and consistent with the comprehensive state mathematics plan developed pursuant to Iowa Code section </w:t>
      </w:r>
      <w:hyperlink r:id="rId51">
        <w:r>
          <w:rPr>
            <w:rStyle w:val="Hyperlink"/>
            <w:rFonts w:ascii="Times New Roman" w:hAnsi="Times New Roman"/>
            <w:b w:val="false"/>
            <w:i w:val="false"/>
            <w:color w:val="000000"/>
            <w:sz w:val="24"/>
          </w:rPr>
          <w:t>256.9(71)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student is meeting expectations related to increases in the student’s level of mathematics proficiency, the student will be provided with small group interventions. If the student is not meeting expectations related to increases in the student’s level of mathematics proficiency, the student will be provided with intensive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62.7(2)</w:t>
      </w:r>
      <w:r>
        <w:rPr>
          <w:rFonts w:ascii="Times New Roman" w:hAnsi="Times New Roman"/>
          <w:b w:val="false"/>
          <w:i w:val="false"/>
          <w:color w:val="000000"/>
          <w:sz w:val="24"/>
        </w:rPr>
        <w:t> </w:t>
      </w:r>
      <w:r>
        <w:rPr>
          <w:rFonts w:ascii="Times New Roman" w:hAnsi="Times New Roman"/>
          <w:b w:val="false"/>
          <w:i/>
          <w:color w:val="000000"/>
          <w:sz w:val="24"/>
        </w:rPr>
        <w:t xml:space="preserve">Personalized mathematics plan. </w:t>
      </w:r>
      <w:r>
        <w:rPr>
          <w:rFonts w:ascii="Times New Roman" w:hAnsi="Times New Roman"/>
          <w:b w:val="false"/>
          <w:i w:val="false"/>
          <w:color w:val="000000"/>
          <w:sz w:val="24"/>
        </w:rPr>
        <w:t xml:space="preserve">For each student who is persistently at risk in mathematics, a school district will engage parents in the development of a personalized mathematics plan that meets the provisions of Iowa Code section </w:t>
      </w:r>
      <w:hyperlink r:id="rId52">
        <w:r>
          <w:rPr>
            <w:rStyle w:val="Hyperlink"/>
            <w:rFonts w:ascii="Times New Roman" w:hAnsi="Times New Roman"/>
            <w:b w:val="false"/>
            <w:i w:val="false"/>
            <w:color w:val="000000"/>
            <w:sz w:val="24"/>
          </w:rPr>
          <w:t>279.68A(2)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62.7(3)</w:t>
      </w:r>
      <w:r>
        <w:rPr>
          <w:rFonts w:ascii="Times New Roman" w:hAnsi="Times New Roman"/>
          <w:b w:val="false"/>
          <w:i w:val="false"/>
          <w:color w:val="000000"/>
          <w:sz w:val="24"/>
        </w:rPr>
        <w:t> </w:t>
      </w:r>
      <w:r>
        <w:rPr>
          <w:rFonts w:ascii="Times New Roman" w:hAnsi="Times New Roman"/>
          <w:b w:val="false"/>
          <w:i/>
          <w:color w:val="000000"/>
          <w:sz w:val="24"/>
        </w:rPr>
        <w:t xml:space="preserve">Duration of obligations to students who are persistently at risk in mathematics. </w:t>
      </w:r>
      <w:r>
        <w:rPr>
          <w:rFonts w:ascii="Times New Roman" w:hAnsi="Times New Roman"/>
          <w:b w:val="false"/>
          <w:i w:val="false"/>
          <w:color w:val="000000"/>
          <w:sz w:val="24"/>
        </w:rPr>
        <w:t xml:space="preserve">For each student who is persistently at risk in mathematics, a school district will provide services under this chapter until the student exits persistently at risk status under subrule </w:t>
      </w:r>
      <w:hyperlink r:id="rId53">
        <w:r>
          <w:rPr>
            <w:rStyle w:val="Hyperlink"/>
            <w:rFonts w:ascii="Times New Roman" w:hAnsi="Times New Roman"/>
            <w:b w:val="false"/>
            <w:i w:val="false"/>
            <w:color w:val="000000"/>
            <w:sz w:val="24"/>
          </w:rPr>
          <w:t>62.7(2)</w:t>
        </w:r>
      </w:hyperlink>
      <w:r>
        <w:rPr>
          <w:rFonts w:ascii="Times New Roman" w:hAnsi="Times New Roman"/>
          <w:b w:val="false"/>
          <w:i w:val="false"/>
          <w:color w:val="000000"/>
          <w:sz w:val="24"/>
        </w:rPr>
        <w:t xml:space="preserve"> or completes sixth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62.7(4)</w:t>
      </w:r>
      <w:r>
        <w:rPr>
          <w:rFonts w:ascii="Times New Roman" w:hAnsi="Times New Roman"/>
          <w:b w:val="false"/>
          <w:i w:val="false"/>
          <w:color w:val="000000"/>
          <w:sz w:val="24"/>
        </w:rPr>
        <w:t> </w:t>
      </w:r>
      <w:r>
        <w:rPr>
          <w:rFonts w:ascii="Times New Roman" w:hAnsi="Times New Roman"/>
          <w:b w:val="false"/>
          <w:i/>
          <w:color w:val="000000"/>
          <w:sz w:val="24"/>
        </w:rPr>
        <w:t xml:space="preserve">Support for students at risk in mathematics. </w:t>
      </w:r>
      <w:r>
        <w:rPr>
          <w:rFonts w:ascii="Times New Roman" w:hAnsi="Times New Roman"/>
          <w:b w:val="false"/>
          <w:i w:val="false"/>
          <w:color w:val="000000"/>
          <w:sz w:val="24"/>
        </w:rPr>
        <w:t xml:space="preserve">School districts may provide additional supports to students who are at risk in mathematics under rule </w:t>
      </w:r>
      <w:hyperlink r:id="rId54">
        <w:r>
          <w:rPr>
            <w:rStyle w:val="Hyperlink"/>
            <w:rFonts w:ascii="Times New Roman" w:hAnsi="Times New Roman"/>
            <w:b w:val="false"/>
            <w:i w:val="false"/>
            <w:color w:val="000000"/>
            <w:sz w:val="24"/>
          </w:rPr>
          <w:t>281—62.3</w:t>
        </w:r>
      </w:hyperlink>
      <w:r>
        <w:rPr>
          <w:rFonts w:ascii="Times New Roman" w:hAnsi="Times New Roman"/>
          <w:b w:val="false"/>
          <w:i w:val="false"/>
          <w:color w:val="000000"/>
          <w:sz w:val="24"/>
        </w:rPr>
        <w:t>(256,279).</w:t>
      </w:r>
    </w:p>
    <w:p>
      <w:pPr>
        <w:spacing w:before="0" w:after="0" w:line="480"/>
        <w:ind w:left="120"/>
        <w:jc w:val="both"/>
      </w:pPr>
      <w:r>
        <w:rPr>
          <w:rFonts w:ascii="Times New Roman" w:hAnsi="Times New Roman"/>
          <w:b/>
          <w:i w:val="false"/>
          <w:color w:val="000000"/>
          <w:sz w:val="24"/>
        </w:rPr>
        <w:t>281—62.8</w:t>
      </w:r>
      <w:r>
        <w:rPr>
          <w:rFonts w:ascii="Times New Roman" w:hAnsi="Times New Roman"/>
          <w:b/>
          <w:i w:val="false"/>
          <w:color w:val="000000"/>
          <w:sz w:val="24"/>
        </w:rPr>
        <w:t xml:space="preserve">(256,279) </w:t>
      </w:r>
      <w:r>
        <w:rPr>
          <w:rFonts w:ascii="Times New Roman" w:hAnsi="Times New Roman"/>
          <w:b/>
          <w:i w:val="false"/>
          <w:color w:val="000000"/>
          <w:sz w:val="24"/>
        </w:rPr>
        <w:t xml:space="preserve">Ensuring continuous improvement in mathematics proficiency.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To ensure all children are proficient in mathematics by the end of sixth grade, each school district will comply with the provisions of Iowa Code section </w:t>
      </w:r>
      <w:hyperlink r:id="rId55">
        <w:r>
          <w:rPr>
            <w:rStyle w:val="Hyperlink"/>
            <w:rFonts w:ascii="Times New Roman" w:hAnsi="Times New Roman"/>
            <w:b w:val="false"/>
            <w:i w:val="false"/>
            <w:color w:val="000000"/>
            <w:sz w:val="24"/>
          </w:rPr>
          <w:t>279.68A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62.8(2)</w:t>
      </w:r>
      <w:r>
        <w:rPr>
          <w:rFonts w:ascii="Times New Roman" w:hAnsi="Times New Roman"/>
          <w:b w:val="false"/>
          <w:i w:val="false"/>
          <w:color w:val="000000"/>
          <w:sz w:val="24"/>
        </w:rPr>
        <w:t> </w:t>
      </w:r>
      <w:r>
        <w:rPr>
          <w:rFonts w:ascii="Times New Roman" w:hAnsi="Times New Roman"/>
          <w:b w:val="false"/>
          <w:i/>
          <w:color w:val="000000"/>
          <w:sz w:val="24"/>
        </w:rPr>
        <w:t xml:space="preserve">Relationship between this chapter and the department’s general accreditation standards. </w:t>
      </w:r>
      <w:r>
        <w:rPr>
          <w:rFonts w:ascii="Times New Roman" w:hAnsi="Times New Roman"/>
          <w:b w:val="false"/>
          <w:i w:val="false"/>
          <w:color w:val="000000"/>
          <w:sz w:val="24"/>
        </w:rPr>
        <w:t xml:space="preserve">In addition to subrule </w:t>
      </w:r>
      <w:hyperlink r:id="rId56">
        <w:r>
          <w:rPr>
            <w:rStyle w:val="Hyperlink"/>
            <w:rFonts w:ascii="Times New Roman" w:hAnsi="Times New Roman"/>
            <w:b w:val="false"/>
            <w:i w:val="false"/>
            <w:color w:val="000000"/>
            <w:sz w:val="24"/>
          </w:rPr>
          <w:t>62.8(1)</w:t>
        </w:r>
      </w:hyperlink>
      <w:r>
        <w:rPr>
          <w:rFonts w:ascii="Times New Roman" w:hAnsi="Times New Roman"/>
          <w:b w:val="false"/>
          <w:i w:val="false"/>
          <w:color w:val="000000"/>
          <w:sz w:val="24"/>
        </w:rPr>
        <w:t xml:space="preserve">, the department will consider compliance with and performance under this chapter in its enforcement of the general accreditation standards and school improvement process described in </w:t>
      </w:r>
      <w:hyperlink r:id="rId57">
        <w:r>
          <w:rPr>
            <w:rStyle w:val="Hyperlink"/>
            <w:rFonts w:ascii="Times New Roman" w:hAnsi="Times New Roman"/>
            <w:b w:val="false"/>
            <w:i w:val="false"/>
            <w:color w:val="000000"/>
            <w:sz w:val="24"/>
          </w:rPr>
          <w:t>281—Chapter 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62.8(3)</w:t>
      </w:r>
      <w:r>
        <w:rPr>
          <w:rFonts w:ascii="Times New Roman" w:hAnsi="Times New Roman"/>
          <w:b w:val="false"/>
          <w:i w:val="false"/>
          <w:color w:val="000000"/>
          <w:sz w:val="24"/>
        </w:rPr>
        <w:t> </w:t>
      </w:r>
      <w:r>
        <w:rPr>
          <w:rFonts w:ascii="Times New Roman" w:hAnsi="Times New Roman"/>
          <w:b w:val="false"/>
          <w:i/>
          <w:color w:val="000000"/>
          <w:sz w:val="24"/>
        </w:rPr>
        <w:t xml:space="preserve">Universal mathematics curriculum. </w:t>
      </w:r>
      <w:r>
        <w:rPr>
          <w:rFonts w:ascii="Times New Roman" w:hAnsi="Times New Roman"/>
          <w:b w:val="false"/>
          <w:i w:val="false"/>
          <w:color w:val="000000"/>
          <w:sz w:val="24"/>
        </w:rPr>
        <w:t xml:space="preserve">In addition to the requirements of subrule </w:t>
      </w:r>
      <w:r>
        <w:rPr>
          <w:rFonts w:ascii="Times New Roman" w:hAnsi="Times New Roman"/>
          <w:b w:val="false"/>
          <w:i w:val="false"/>
          <w:color w:val="000000"/>
          <w:sz w:val="24"/>
        </w:rPr>
        <w:t>62.8(1)</w:t>
      </w:r>
      <w:r>
        <w:rPr>
          <w:rFonts w:ascii="Times New Roman" w:hAnsi="Times New Roman"/>
          <w:b w:val="false"/>
          <w:i w:val="false"/>
          <w:color w:val="000000"/>
          <w:sz w:val="24"/>
        </w:rPr>
        <w:t>, each school district will implement a mathematics curriculum to ensure universal access to high-quality mathematics instruction. Such a curriculum includes evidence-based mathematics instruction, determined by research, including those practices identified within the statewide mathematics plan and employing high-quality instructional materials.</w:t>
      </w:r>
    </w:p>
    <w:p>
      <w:pPr>
        <w:spacing w:before="0" w:after="0" w:line="480"/>
        <w:ind w:left="120"/>
        <w:jc w:val="both"/>
      </w:pPr>
      <w:r>
        <w:rPr>
          <w:rFonts w:ascii="Times New Roman" w:hAnsi="Times New Roman"/>
          <w:b/>
          <w:i w:val="false"/>
          <w:color w:val="000000"/>
          <w:sz w:val="24"/>
        </w:rPr>
        <w:t>281—62.9</w:t>
      </w:r>
      <w:r>
        <w:rPr>
          <w:rFonts w:ascii="Times New Roman" w:hAnsi="Times New Roman"/>
          <w:b/>
          <w:i w:val="false"/>
          <w:color w:val="000000"/>
          <w:sz w:val="24"/>
        </w:rPr>
        <w:t xml:space="preserve">(256,279) </w:t>
      </w:r>
      <w:r>
        <w:rPr>
          <w:rFonts w:ascii="Times New Roman" w:hAnsi="Times New Roman"/>
          <w:b/>
          <w:i w:val="false"/>
          <w:color w:val="000000"/>
          <w:sz w:val="24"/>
        </w:rPr>
        <w:t xml:space="preserve">Miscellaneous provisions: mathematics.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62.9(1)</w:t>
      </w:r>
      <w:r>
        <w:rPr>
          <w:rFonts w:ascii="Times New Roman" w:hAnsi="Times New Roman"/>
          <w:b w:val="false"/>
          <w:i w:val="false"/>
          <w:color w:val="000000"/>
          <w:sz w:val="24"/>
        </w:rPr>
        <w:t> </w:t>
      </w:r>
      <w:r>
        <w:rPr>
          <w:rFonts w:ascii="Times New Roman" w:hAnsi="Times New Roman"/>
          <w:b w:val="false"/>
          <w:i/>
          <w:color w:val="000000"/>
          <w:sz w:val="24"/>
        </w:rPr>
        <w:t xml:space="preserve">Report to the department. </w:t>
      </w:r>
      <w:r>
        <w:rPr>
          <w:rFonts w:ascii="Times New Roman" w:hAnsi="Times New Roman"/>
          <w:b w:val="false"/>
          <w:i w:val="false"/>
          <w:color w:val="000000"/>
          <w:sz w:val="24"/>
        </w:rPr>
        <w:t xml:space="preserve">Each school district will report to the department the specific intensive mathematics interventions and supports implemented by the school district in a manner similar to subrule </w:t>
      </w:r>
      <w:hyperlink r:id="rId58">
        <w:r>
          <w:rPr>
            <w:rStyle w:val="Hyperlink"/>
            <w:rFonts w:ascii="Times New Roman" w:hAnsi="Times New Roman"/>
            <w:b w:val="false"/>
            <w:i w:val="false"/>
            <w:color w:val="000000"/>
            <w:sz w:val="24"/>
          </w:rPr>
          <w:t>62.4(5)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62.9(2)</w:t>
      </w:r>
      <w:r>
        <w:rPr>
          <w:rFonts w:ascii="Times New Roman" w:hAnsi="Times New Roman"/>
          <w:b w:val="false"/>
          <w:i w:val="false"/>
          <w:color w:val="000000"/>
          <w:sz w:val="24"/>
        </w:rPr>
        <w:t> </w:t>
      </w:r>
      <w:r>
        <w:rPr>
          <w:rFonts w:ascii="Times New Roman" w:hAnsi="Times New Roman"/>
          <w:b w:val="false"/>
          <w:i/>
          <w:color w:val="000000"/>
          <w:sz w:val="24"/>
        </w:rPr>
        <w:t xml:space="preserve">Database. </w:t>
      </w:r>
      <w:r>
        <w:rPr>
          <w:rFonts w:ascii="Times New Roman" w:hAnsi="Times New Roman"/>
          <w:b w:val="false"/>
          <w:i w:val="false"/>
          <w:color w:val="000000"/>
          <w:sz w:val="24"/>
        </w:rPr>
        <w:t>The department may require school districts to enter assessment and progress monitoring data into a statewide database.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62.9(3)</w:t>
      </w:r>
      <w:r>
        <w:rPr>
          <w:rFonts w:ascii="Times New Roman" w:hAnsi="Times New Roman"/>
          <w:b w:val="false"/>
          <w:i w:val="false"/>
          <w:color w:val="000000"/>
          <w:sz w:val="24"/>
        </w:rPr>
        <w:t> </w:t>
      </w:r>
      <w:r>
        <w:rPr>
          <w:rFonts w:ascii="Times New Roman" w:hAnsi="Times New Roman"/>
          <w:b w:val="false"/>
          <w:i/>
          <w:color w:val="000000"/>
          <w:sz w:val="24"/>
        </w:rPr>
        <w:t xml:space="preserve">Accredited nonpublic schools. </w:t>
      </w:r>
      <w:r>
        <w:rPr>
          <w:rFonts w:ascii="Times New Roman" w:hAnsi="Times New Roman"/>
          <w:b w:val="false"/>
          <w:i w:val="false"/>
          <w:color w:val="000000"/>
          <w:sz w:val="24"/>
        </w:rPr>
        <w:t xml:space="preserve">Nothing in this chapter prevents an accredited nonpublic school from voluntarily complying with this chapter. Nothing in this chapter prevents the department from offering universal screening or progress monitoring instruments to accredited nonpublic school students or prevents the department from allowing inclusion of those students’ data in the database described in subrule </w:t>
      </w:r>
      <w:hyperlink r:id="rId59">
        <w:r>
          <w:rPr>
            <w:rStyle w:val="Hyperlink"/>
            <w:rFonts w:ascii="Times New Roman" w:hAnsi="Times New Roman"/>
            <w:b w:val="false"/>
            <w:i w:val="false"/>
            <w:color w:val="000000"/>
            <w:sz w:val="24"/>
          </w:rPr>
          <w:t>62.9(2)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62.9(4)</w:t>
      </w:r>
      <w:r>
        <w:rPr>
          <w:rFonts w:ascii="Times New Roman" w:hAnsi="Times New Roman"/>
          <w:b w:val="false"/>
          <w:i w:val="false"/>
          <w:color w:val="000000"/>
          <w:sz w:val="24"/>
        </w:rPr>
        <w:t> </w:t>
      </w:r>
      <w:r>
        <w:rPr>
          <w:rFonts w:ascii="Times New Roman" w:hAnsi="Times New Roman"/>
          <w:b w:val="false"/>
          <w:i/>
          <w:color w:val="000000"/>
          <w:sz w:val="24"/>
        </w:rPr>
        <w:t xml:space="preserve">Rules of construction. </w:t>
      </w:r>
      <w:r>
        <w:rPr>
          <w:rFonts w:ascii="Times New Roman" w:hAnsi="Times New Roman"/>
          <w:b w:val="false"/>
          <w:i w:val="false"/>
          <w:color w:val="000000"/>
          <w:sz w:val="24"/>
        </w:rPr>
        <w:t>Nothing in this chapter obligates a school district to select a particular assessment, instrument, tool, curriculum, or program, so long as the assessment, instrument, tool, curriculum, or program used meets the provisions of this chapter. Nothing in this chapter limits a school district from voluntarily providing services beyond sixth grade to students who need additional support in mathematics.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281—Chapter 62</w:t>
      </w:r>
      <w:r>
        <w:rPr>
          <w:rFonts w:ascii="Times New Roman" w:hAnsi="Times New Roman"/>
          <w:b w:val="false"/>
          <w:i w:val="false"/>
          <w:color w:val="000000"/>
          <w:sz w:val="24"/>
        </w:rPr>
        <w:t>, implementation sentence</w:t>
      </w:r>
      <w:r>
        <w:rPr>
          <w:rFonts w:ascii="Times New Roman" w:hAnsi="Times New Roman"/>
          <w:b w:val="false"/>
          <w:i w:val="false"/>
          <w:color w:val="000000"/>
          <w:sz w:val="24"/>
        </w:rPr>
        <w:t>, as follows:</w:t>
      </w:r>
    </w:p>
    <w:p>
      <w:pPr>
        <w:spacing w:before="0" w:after="0" w:line="480"/>
        <w:ind w:left="120"/>
        <w:jc w:val="left"/>
      </w:pPr>
      <w:r>
        <w:rPr>
          <w:rFonts w:ascii="Times New Roman" w:hAnsi="Times New Roman"/>
          <w:b w:val="false"/>
          <w:i w:val="false"/>
          <w:color w:val="000000"/>
          <w:sz w:val="24"/>
        </w:rPr>
        <w:t xml:space="preserve">These rules are intended to implement Iowa Code </w:t>
      </w:r>
      <w:r>
        <w:rPr>
          <w:rFonts w:ascii="Times New Roman" w:hAnsi="Times New Roman"/>
          <w:b w:val="false"/>
          <w:i w:val="false"/>
          <w:strike/>
          <w:color w:val="000000"/>
          <w:sz w:val="24"/>
        </w:rPr>
        <w:t>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sections</w:t>
      </w:r>
      <w:r>
        <w:rPr>
          <w:rFonts w:ascii="Times New Roman" w:hAnsi="Times New Roman"/>
          <w:b w:val="false"/>
          <w:i w:val="false"/>
          <w:color w:val="000000"/>
          <w:sz w:val="24"/>
        </w:rPr>
        <w:t xml:space="preserve"> </w:t>
      </w:r>
      <w:hyperlink r:id="rId60">
        <w:r>
          <w:rPr>
            <w:rStyle w:val="Hyperlink"/>
            <w:rFonts w:ascii="Times New Roman" w:hAnsi="Times New Roman"/>
            <w:b w:val="false"/>
            <w:i w:val="false"/>
            <w:color w:val="000000"/>
            <w:sz w:val="24"/>
          </w:rPr>
          <w:t>279.68</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w:t>
      </w:r>
      <w:hyperlink r:id="rId61">
        <w:r>
          <w:rPr>
            <w:rStyle w:val="Hyperlink"/>
            <w:rFonts w:ascii="Times New Roman" w:hAnsi="Times New Roman"/>
            <w:b w:val="false"/>
            <w:i w:val="false"/>
            <w:color w:val="000000"/>
            <w:sz w:val="24"/>
            <w:u w:val="single"/>
          </w:rPr>
          <w:t>279.68A</w:t>
        </w:r>
      </w:hyperlink>
      <w:r>
        <w:rPr>
          <w:rFonts w:ascii="Times New Roman" w:hAnsi="Times New Roman"/>
          <w:b w:val="false"/>
          <w:i w:val="false"/>
          <w:color w:val="000000"/>
          <w:sz w:val="24"/>
        </w:rPr>
        <w:t>.</w:t>
      </w:r>
    </w:p>
    <w:sectPr>
      <w:footerReference r:id="rId6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uzu-nfiq-jca" Type="http://schemas.openxmlformats.org/officeDocument/2006/relationships/hyperlink" Id="rId4"/>
    <Relationship TargetMode="External" Target="mailto:thomas.a.mayes@iowa.gov" Type="http://schemas.openxmlformats.org/officeDocument/2006/relationships/hyperlink" Id="rId5"/>
    <Relationship TargetMode="External" Target="https://www.legis.iowa.gov/docs/iac/rule/281.62.1.pdf" Type="http://schemas.openxmlformats.org/officeDocument/2006/relationships/hyperlink" Id="rId6"/>
    <Relationship TargetMode="External" Target="https://www.legis.iowa.gov/docs/iac/rule/281.62.1.pdf" Type="http://schemas.openxmlformats.org/officeDocument/2006/relationships/hyperlink" Id="rId7"/>
    <Relationship TargetMode="External" Target="https://www.legis.iowa.gov/docs/iac/rule/281.62.1.pdf" Type="http://schemas.openxmlformats.org/officeDocument/2006/relationships/hyperlink" Id="rId8"/>
    <Relationship TargetMode="External" Target="https://www.legis.iowa.gov/docs/iac/rule/281.62.1.pdf" Type="http://schemas.openxmlformats.org/officeDocument/2006/relationships/hyperlink" Id="rId9"/>
    <Relationship TargetMode="External" Target="https://www.legis.iowa.gov/docs/iac/rule/281.62.1.pdf" Type="http://schemas.openxmlformats.org/officeDocument/2006/relationships/hyperlink" Id="rId10"/>
    <Relationship TargetMode="External" Target="https://www.legis.iowa.gov/docs/iac/rule/281.62.2.pdf" Type="http://schemas.openxmlformats.org/officeDocument/2006/relationships/hyperlink" Id="rId11"/>
    <Relationship TargetMode="External" Target="https://www.legis.iowa.gov/docs/iac/rule/281.62.1.pdf" Type="http://schemas.openxmlformats.org/officeDocument/2006/relationships/hyperlink" Id="rId12"/>
    <Relationship TargetMode="External" Target="https://www.legis.iowa.gov/docs/iac/rule/281.62.3.pdf" Type="http://schemas.openxmlformats.org/officeDocument/2006/relationships/hyperlink" Id="rId13"/>
    <Relationship TargetMode="External" Target="https://www.legis.iowa.gov/docs/iac/rule/281.62.1.pdf" Type="http://schemas.openxmlformats.org/officeDocument/2006/relationships/hyperlink" Id="rId14"/>
    <Relationship TargetMode="External" Target="https://www.legis.iowa.gov/docs/iac/rule/281.62.2.pdf" Type="http://schemas.openxmlformats.org/officeDocument/2006/relationships/hyperlink" Id="rId15"/>
    <Relationship TargetMode="External" Target="https://www.legis.iowa.gov/docs/iac/rule/281.41.320.pdf" Type="http://schemas.openxmlformats.org/officeDocument/2006/relationships/hyperlink" Id="rId16"/>
    <Relationship TargetMode="External" Target="https://www.legis.iowa.gov/docs/ico/chapter/279.68.pdf" Type="http://schemas.openxmlformats.org/officeDocument/2006/relationships/hyperlink" Id="rId17"/>
    <Relationship TargetMode="External" Target="https://www.legis.iowa.gov/docs/ico/chapter/279.68A.pdf" Type="http://schemas.openxmlformats.org/officeDocument/2006/relationships/hyperlink" Id="rId18"/>
    <Relationship TargetMode="External" Target="https://www.legis.iowa.gov/docs/ico/chapter/279.68A.pdf" Type="http://schemas.openxmlformats.org/officeDocument/2006/relationships/hyperlink" Id="rId19"/>
    <Relationship TargetMode="External" Target="https://www.legis.iowa.gov/docs/iac/rule/281.12.8.pdf" Type="http://schemas.openxmlformats.org/officeDocument/2006/relationships/hyperlink" Id="rId20"/>
    <Relationship TargetMode="External" Target="https://www.legis.iowa.gov/docs/iac/rule/281.62.1.pdf" Type="http://schemas.openxmlformats.org/officeDocument/2006/relationships/hyperlink" Id="rId21"/>
    <Relationship TargetMode="External" Target="https://www.legis.iowa.gov/docs/iac/rule/281.62.4.pdf" Type="http://schemas.openxmlformats.org/officeDocument/2006/relationships/hyperlink" Id="rId22"/>
    <Relationship TargetMode="External" Target="https://www.legis.iowa.gov/docs/ico/chapter/279.68.pdf" Type="http://schemas.openxmlformats.org/officeDocument/2006/relationships/hyperlink" Id="rId23"/>
    <Relationship TargetMode="External" Target="https://www.legis.iowa.gov/docs/iac/rule/281.62.1.pdf" Type="http://schemas.openxmlformats.org/officeDocument/2006/relationships/hyperlink" Id="rId24"/>
    <Relationship TargetMode="External" Target="https://www.legis.iowa.gov/docs/iac/rule/281.62.1.pdf" Type="http://schemas.openxmlformats.org/officeDocument/2006/relationships/hyperlink" Id="rId25"/>
    <Relationship TargetMode="External" Target="https://www.legis.iowa.gov/docs/iac/rule/281.12.8.pdf" Type="http://schemas.openxmlformats.org/officeDocument/2006/relationships/hyperlink" Id="rId26"/>
    <Relationship TargetMode="External" Target="https://www.legis.iowa.gov/docs/ico/chapter/279.68.pdf" Type="http://schemas.openxmlformats.org/officeDocument/2006/relationships/hyperlink" Id="rId27"/>
    <Relationship TargetMode="External" Target="https://www.legis.iowa.gov/docs/iac/rule/281.62.1.pdf" Type="http://schemas.openxmlformats.org/officeDocument/2006/relationships/hyperlink" Id="rId28"/>
    <Relationship TargetMode="External" Target="https://www.legis.iowa.gov/docs/iac/rule/281.62.4.pdf" Type="http://schemas.openxmlformats.org/officeDocument/2006/relationships/hyperlink" Id="rId29"/>
    <Relationship TargetMode="External" Target="https://www.legis.iowa.gov/docs/ico/chapter/279.68.pdf" Type="http://schemas.openxmlformats.org/officeDocument/2006/relationships/hyperlink" Id="rId30"/>
    <Relationship TargetMode="External" Target="https://www.legis.iowa.gov/docs/iac/chapter/281.83.pdf" Type="http://schemas.openxmlformats.org/officeDocument/2006/relationships/hyperlink" Id="rId31"/>
    <Relationship TargetMode="External" Target="https://www.legis.iowa.gov/docs/iac/rule/281.62.1.pdf" Type="http://schemas.openxmlformats.org/officeDocument/2006/relationships/hyperlink" Id="rId32"/>
    <Relationship TargetMode="External" Target="https://www.legis.iowa.gov/docs/iac/rule/281.62.1.pdf" Type="http://schemas.openxmlformats.org/officeDocument/2006/relationships/hyperlink" Id="rId33"/>
    <Relationship TargetMode="External" Target="https://www.legis.iowa.gov/docs/iac/rule/281.62.4.pdf" Type="http://schemas.openxmlformats.org/officeDocument/2006/relationships/hyperlink" Id="rId34"/>
    <Relationship TargetMode="External" Target="https://www.legis.iowa.gov/docs/ico/chapter/279.68.pdf" Type="http://schemas.openxmlformats.org/officeDocument/2006/relationships/hyperlink" Id="rId35"/>
    <Relationship TargetMode="External" Target="https://www.legis.iowa.gov/docs/ico/chapter/279.68.pdf" Type="http://schemas.openxmlformats.org/officeDocument/2006/relationships/hyperlink" Id="rId36"/>
    <Relationship TargetMode="External" Target="https://www.legis.iowa.gov/docs/ico/chapter/279.68.pdf" Type="http://schemas.openxmlformats.org/officeDocument/2006/relationships/hyperlink" Id="rId37"/>
    <Relationship TargetMode="External" Target="https://www.legis.iowa.gov/docs/ico/chapter/279.68.pdf" Type="http://schemas.openxmlformats.org/officeDocument/2006/relationships/hyperlink" Id="rId38"/>
    <Relationship TargetMode="External" Target="https://www.legis.iowa.gov/docs/iac/rule/281.62.4.pdf" Type="http://schemas.openxmlformats.org/officeDocument/2006/relationships/hyperlink" Id="rId39"/>
    <Relationship TargetMode="External" Target="https://www.legis.iowa.gov/docs/iac/rule/281.62.2.pdf" Type="http://schemas.openxmlformats.org/officeDocument/2006/relationships/hyperlink" Id="rId40"/>
    <Relationship TargetMode="External" Target="https://www.legis.iowa.gov/docs/ico/chapter/279.68.pdf" Type="http://schemas.openxmlformats.org/officeDocument/2006/relationships/hyperlink" Id="rId41"/>
    <Relationship TargetMode="External" Target="https://www.legis.iowa.gov/docs/iac/rule/281.62.5.pdf" Type="http://schemas.openxmlformats.org/officeDocument/2006/relationships/hyperlink" Id="rId42"/>
    <Relationship TargetMode="External" Target="https://www.legis.iowa.gov/docs/iac/rule/281.62.3.pdf" Type="http://schemas.openxmlformats.org/officeDocument/2006/relationships/hyperlink" Id="rId43"/>
    <Relationship TargetMode="External" Target="https://www.legis.iowa.gov/docs/iac/rule/281.12.8.pdf" Type="http://schemas.openxmlformats.org/officeDocument/2006/relationships/hyperlink" Id="rId44"/>
    <Relationship TargetMode="External" Target="https://www.legis.iowa.gov/docs/iac/rule/281.62.3.pdf" Type="http://schemas.openxmlformats.org/officeDocument/2006/relationships/hyperlink" Id="rId45"/>
    <Relationship TargetMode="External" Target="https://www.legis.iowa.gov/docs/iac/rule/281.62.3.pdf" Type="http://schemas.openxmlformats.org/officeDocument/2006/relationships/hyperlink" Id="rId46"/>
    <Relationship TargetMode="External" Target="https://www.legis.iowa.gov/docs/iac/rule/281.62.3.pdf" Type="http://schemas.openxmlformats.org/officeDocument/2006/relationships/hyperlink" Id="rId47"/>
    <Relationship TargetMode="External" Target="https://www.legis.iowa.gov/docs/iac/rule/281.62.4.pdf" Type="http://schemas.openxmlformats.org/officeDocument/2006/relationships/hyperlink" Id="rId48"/>
    <Relationship TargetMode="External" Target="https://www.legis.iowa.gov/docs/iac/rule/281.62.6.pdf" Type="http://schemas.openxmlformats.org/officeDocument/2006/relationships/hyperlink" Id="rId49"/>
    <Relationship TargetMode="External" Target="https://www.legis.iowa.gov/docs/iac/rule/281.62.3.pdf" Type="http://schemas.openxmlformats.org/officeDocument/2006/relationships/hyperlink" Id="rId50"/>
    <Relationship TargetMode="External" Target="https://www.legis.iowa.gov/docs/ico/chapter/256.9.pdf" Type="http://schemas.openxmlformats.org/officeDocument/2006/relationships/hyperlink" Id="rId51"/>
    <Relationship TargetMode="External" Target="https://www.legis.iowa.gov/docs/ico/chapter/279.68A.pdf" Type="http://schemas.openxmlformats.org/officeDocument/2006/relationships/hyperlink" Id="rId52"/>
    <Relationship TargetMode="External" Target="https://www.legis.iowa.gov/docs/iac/rule/281.62.7.pdf" Type="http://schemas.openxmlformats.org/officeDocument/2006/relationships/hyperlink" Id="rId53"/>
    <Relationship TargetMode="External" Target="https://www.legis.iowa.gov/docs/iac/rule/281.62.3.pdf" Type="http://schemas.openxmlformats.org/officeDocument/2006/relationships/hyperlink" Id="rId54"/>
    <Relationship TargetMode="External" Target="https://www.legis.iowa.gov/docs/ico/chapter/279.68A.pdf" Type="http://schemas.openxmlformats.org/officeDocument/2006/relationships/hyperlink" Id="rId55"/>
    <Relationship TargetMode="External" Target="https://www.legis.iowa.gov/docs/iac/rule/281.62.8.pdf" Type="http://schemas.openxmlformats.org/officeDocument/2006/relationships/hyperlink" Id="rId56"/>
    <Relationship TargetMode="External" Target="https://www.legis.iowa.gov/docs/iac/chapter/281.12.pdf" Type="http://schemas.openxmlformats.org/officeDocument/2006/relationships/hyperlink" Id="rId57"/>
    <Relationship TargetMode="External" Target="https://www.legis.iowa.gov/docs/iac/rule/281.62.4.pdf" Type="http://schemas.openxmlformats.org/officeDocument/2006/relationships/hyperlink" Id="rId58"/>
    <Relationship TargetMode="External" Target="https://www.legis.iowa.gov/docs/iac/rule/281.62.9.pdf" Type="http://schemas.openxmlformats.org/officeDocument/2006/relationships/hyperlink" Id="rId59"/>
    <Relationship TargetMode="External" Target="https://www.legis.iowa.gov/docs/ico/chapter/279.68.pdf" Type="http://schemas.openxmlformats.org/officeDocument/2006/relationships/hyperlink" Id="rId60"/>
    <Relationship TargetMode="External" Target="https://www.legis.iowa.gov/docs/ico/chapter/279.68A.pdf" Type="http://schemas.openxmlformats.org/officeDocument/2006/relationships/hyperlink" Id="rId61"/>
    <Relationship Target="footer.xml" Type="http://schemas.openxmlformats.org/officeDocument/2006/relationships/footer"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